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6B" w:rsidRPr="00B97F35" w:rsidRDefault="0079126B" w:rsidP="0079126B">
      <w:pPr>
        <w:spacing w:before="0"/>
        <w:jc w:val="left"/>
        <w:rPr>
          <w:rFonts w:asciiTheme="minorHAnsi" w:hAnsiTheme="minorHAnsi"/>
          <w:b/>
          <w:caps/>
        </w:rPr>
      </w:pPr>
      <w:r w:rsidRPr="00B97F35">
        <w:rPr>
          <w:rFonts w:asciiTheme="minorHAnsi" w:hAnsiTheme="minorHAnsi"/>
          <w:noProof/>
          <w:lang w:val="ru-RU" w:eastAsia="ru-RU"/>
        </w:rPr>
        <mc:AlternateContent>
          <mc:Choice Requires="wps">
            <w:drawing>
              <wp:anchor distT="0" distB="0" distL="114300" distR="114300" simplePos="0" relativeHeight="251665408" behindDoc="0" locked="0" layoutInCell="1" allowOverlap="1" wp14:anchorId="17D67E18" wp14:editId="1AB010B3">
                <wp:simplePos x="0" y="0"/>
                <wp:positionH relativeFrom="column">
                  <wp:posOffset>928370</wp:posOffset>
                </wp:positionH>
                <wp:positionV relativeFrom="paragraph">
                  <wp:posOffset>137795</wp:posOffset>
                </wp:positionV>
                <wp:extent cx="4006850" cy="1165860"/>
                <wp:effectExtent l="0" t="0" r="0" b="0"/>
                <wp:wrapNone/>
                <wp:docPr id="5124" name="Conten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006850"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26B" w:rsidRPr="00DB3B17" w:rsidRDefault="0079126B" w:rsidP="0079126B">
                            <w:pPr>
                              <w:pStyle w:val="a6"/>
                              <w:kinsoku w:val="0"/>
                              <w:overflowPunct w:val="0"/>
                              <w:spacing w:before="200" w:beforeAutospacing="0" w:after="0" w:afterAutospacing="0" w:line="216" w:lineRule="auto"/>
                              <w:jc w:val="center"/>
                              <w:textAlignment w:val="baseline"/>
                              <w:rPr>
                                <w:rFonts w:asciiTheme="minorHAnsi" w:hAnsiTheme="minorHAnsi" w:cstheme="minorHAnsi"/>
                                <w:sz w:val="40"/>
                                <w:szCs w:val="40"/>
                                <w:lang w:val="en-US"/>
                              </w:rPr>
                            </w:pPr>
                            <w:r w:rsidRPr="00DB3B17">
                              <w:rPr>
                                <w:rFonts w:asciiTheme="minorHAnsi" w:hAnsiTheme="minorHAnsi" w:cstheme="minorHAnsi"/>
                                <w:color w:val="000000"/>
                                <w:kern w:val="24"/>
                                <w:sz w:val="40"/>
                                <w:szCs w:val="40"/>
                                <w:lang w:val="en-US"/>
                              </w:rPr>
                              <w:t>Support to strengthening the higher education system in Azerbaijan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7E18" id="Content Placeholder 4" o:spid="_x0000_s1026" style="position:absolute;margin-left:73.1pt;margin-top:10.85pt;width:315.5pt;height:9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" filled="f" stroked="f">
                <v:path arrowok="t"/>
                <o:lock v:ext="edit" grouping="t"/>
                <v:textbox>
                  <w:txbxContent>
                    <w:p w:rsidR="0079126B" w:rsidRPr="00DB3B17" w:rsidRDefault="0079126B" w:rsidP="0079126B">
                      <w:pPr>
                        <w:pStyle w:val="a6"/>
                        <w:kinsoku w:val="0"/>
                        <w:overflowPunct w:val="0"/>
                        <w:spacing w:before="200" w:beforeAutospacing="0" w:after="0" w:afterAutospacing="0" w:line="216" w:lineRule="auto"/>
                        <w:jc w:val="center"/>
                        <w:textAlignment w:val="baseline"/>
                        <w:rPr>
                          <w:rFonts w:asciiTheme="minorHAnsi" w:hAnsiTheme="minorHAnsi" w:cstheme="minorHAnsi"/>
                          <w:sz w:val="40"/>
                          <w:szCs w:val="40"/>
                          <w:lang w:val="en-US"/>
                        </w:rPr>
                      </w:pPr>
                      <w:r w:rsidRPr="00DB3B17">
                        <w:rPr>
                          <w:rFonts w:asciiTheme="minorHAnsi" w:hAnsiTheme="minorHAnsi" w:cstheme="minorHAnsi"/>
                          <w:color w:val="000000"/>
                          <w:kern w:val="24"/>
                          <w:sz w:val="40"/>
                          <w:szCs w:val="40"/>
                          <w:lang w:val="en-US"/>
                        </w:rPr>
                        <w:t>Support to strengthening the higher education system in Azerbaijan</w:t>
                      </w:r>
                    </w:p>
                  </w:txbxContent>
                </v:textbox>
              </v:rect>
            </w:pict>
          </mc:Fallback>
        </mc:AlternateContent>
      </w:r>
    </w:p>
    <w:p w:rsidR="0079126B" w:rsidRPr="00B97F35" w:rsidRDefault="0079126B" w:rsidP="0079126B">
      <w:pPr>
        <w:spacing w:before="0"/>
        <w:jc w:val="left"/>
        <w:rPr>
          <w:rFonts w:asciiTheme="minorHAnsi" w:hAnsiTheme="minorHAnsi"/>
          <w:b/>
          <w:caps/>
        </w:rPr>
      </w:pPr>
    </w:p>
    <w:p w:rsidR="0079126B" w:rsidRPr="00B97F35" w:rsidRDefault="0079126B" w:rsidP="0079126B">
      <w:pPr>
        <w:spacing w:before="0"/>
        <w:jc w:val="left"/>
        <w:rPr>
          <w:rFonts w:asciiTheme="minorHAnsi" w:hAnsiTheme="minorHAnsi"/>
          <w:b/>
          <w:caps/>
        </w:rPr>
      </w:pPr>
    </w:p>
    <w:p w:rsidR="0079126B" w:rsidRPr="00B97F35" w:rsidRDefault="0079126B" w:rsidP="0079126B">
      <w:pPr>
        <w:spacing w:before="0"/>
        <w:jc w:val="left"/>
        <w:rPr>
          <w:rFonts w:asciiTheme="minorHAnsi" w:hAnsiTheme="minorHAnsi"/>
          <w:b/>
          <w:caps/>
        </w:rPr>
      </w:pPr>
    </w:p>
    <w:p w:rsidR="0079126B" w:rsidRPr="00B97F35" w:rsidRDefault="0079126B" w:rsidP="0079126B">
      <w:pPr>
        <w:spacing w:before="0"/>
        <w:jc w:val="left"/>
        <w:rPr>
          <w:rFonts w:asciiTheme="minorHAnsi" w:hAnsiTheme="minorHAnsi"/>
          <w:b/>
          <w:caps/>
        </w:rPr>
      </w:pPr>
    </w:p>
    <w:p w:rsidR="0079126B" w:rsidRPr="00B97F35" w:rsidRDefault="0079126B" w:rsidP="0079126B">
      <w:pPr>
        <w:spacing w:before="0"/>
        <w:jc w:val="left"/>
        <w:rPr>
          <w:rFonts w:asciiTheme="minorHAnsi" w:hAnsiTheme="minorHAnsi"/>
          <w:b/>
          <w:caps/>
        </w:rPr>
      </w:pPr>
    </w:p>
    <w:p w:rsidR="0079126B" w:rsidRPr="00B97F35" w:rsidRDefault="0079126B" w:rsidP="0079126B">
      <w:pPr>
        <w:spacing w:before="0"/>
        <w:jc w:val="left"/>
        <w:rPr>
          <w:rFonts w:asciiTheme="minorHAnsi" w:hAnsiTheme="minorHAnsi"/>
          <w:b/>
          <w:caps/>
        </w:rPr>
      </w:pPr>
    </w:p>
    <w:p w:rsidR="0079126B" w:rsidRPr="00B97F35" w:rsidRDefault="0079126B" w:rsidP="0079126B">
      <w:pPr>
        <w:spacing w:before="0"/>
        <w:jc w:val="center"/>
        <w:rPr>
          <w:rFonts w:asciiTheme="minorHAnsi" w:hAnsiTheme="minorHAnsi"/>
          <w:b/>
          <w:caps/>
        </w:rPr>
      </w:pPr>
      <w:r w:rsidRPr="00B97F35">
        <w:rPr>
          <w:rFonts w:asciiTheme="minorHAnsi" w:hAnsiTheme="minorHAnsi"/>
          <w:noProof/>
          <w:lang w:val="ru-RU" w:eastAsia="ru-RU"/>
        </w:rPr>
        <mc:AlternateContent>
          <mc:Choice Requires="wps">
            <w:drawing>
              <wp:anchor distT="0" distB="0" distL="114300" distR="114300" simplePos="0" relativeHeight="251666432" behindDoc="0" locked="0" layoutInCell="1" allowOverlap="1" wp14:anchorId="6F7D5C6B" wp14:editId="374F7A52">
                <wp:simplePos x="0" y="0"/>
                <wp:positionH relativeFrom="column">
                  <wp:posOffset>1211580</wp:posOffset>
                </wp:positionH>
                <wp:positionV relativeFrom="paragraph">
                  <wp:posOffset>584835</wp:posOffset>
                </wp:positionV>
                <wp:extent cx="3345180" cy="633095"/>
                <wp:effectExtent l="0" t="0" r="0" b="0"/>
                <wp:wrapNone/>
                <wp:docPr id="512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45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26B" w:rsidRPr="00EC407E" w:rsidRDefault="0079126B" w:rsidP="0079126B">
                            <w:pPr>
                              <w:pStyle w:val="a6"/>
                              <w:kinsoku w:val="0"/>
                              <w:overflowPunct w:val="0"/>
                              <w:spacing w:before="0" w:beforeAutospacing="0" w:after="0" w:afterAutospacing="0" w:line="216" w:lineRule="auto"/>
                              <w:textAlignment w:val="baseline"/>
                              <w:rPr>
                                <w:rFonts w:asciiTheme="minorHAnsi" w:hAnsiTheme="minorHAnsi"/>
                                <w:sz w:val="18"/>
                                <w:lang w:val="en-US"/>
                              </w:rPr>
                            </w:pPr>
                            <w:r>
                              <w:rPr>
                                <w:rFonts w:asciiTheme="minorHAnsi" w:eastAsiaTheme="majorEastAsia" w:hAnsiTheme="minorHAnsi" w:cstheme="majorBidi"/>
                                <w:color w:val="000000" w:themeColor="text1"/>
                                <w:kern w:val="24"/>
                                <w:szCs w:val="36"/>
                                <w:lang w:val="en-GB"/>
                              </w:rPr>
                              <w:t xml:space="preserve">               </w:t>
                            </w:r>
                            <w:r w:rsidRPr="00EC407E">
                              <w:rPr>
                                <w:rFonts w:asciiTheme="minorHAnsi" w:eastAsiaTheme="majorEastAsia" w:hAnsiTheme="minorHAnsi" w:cstheme="majorBidi"/>
                                <w:color w:val="000000" w:themeColor="text1"/>
                                <w:kern w:val="24"/>
                                <w:szCs w:val="36"/>
                                <w:lang w:val="en-GB"/>
                              </w:rPr>
                              <w:t xml:space="preserve">Twinning project </w:t>
                            </w:r>
                            <w:r w:rsidRPr="00D63D55">
                              <w:rPr>
                                <w:rFonts w:asciiTheme="minorHAnsi" w:eastAsiaTheme="majorEastAsia" w:hAnsiTheme="minorHAnsi" w:cstheme="majorBidi"/>
                                <w:color w:val="000000" w:themeColor="text1"/>
                                <w:kern w:val="24"/>
                                <w:szCs w:val="36"/>
                                <w:lang w:val="en-GB"/>
                              </w:rPr>
                              <w:t>ENI/2018/395-401</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D5C6B" id="Title 1" o:spid="_x0000_s1027" style="position:absolute;left:0;text-align:left;margin-left:95.4pt;margin-top:46.05pt;width:263.4pt;height:4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" filled="f" stroked="f">
                <v:path arrowok="t"/>
                <o:lock v:ext="edit" grouping="t"/>
                <v:textbox>
                  <w:txbxContent>
                    <w:p w:rsidR="0079126B" w:rsidRPr="00EC407E" w:rsidRDefault="0079126B" w:rsidP="0079126B">
                      <w:pPr>
                        <w:pStyle w:val="a6"/>
                        <w:kinsoku w:val="0"/>
                        <w:overflowPunct w:val="0"/>
                        <w:spacing w:before="0" w:beforeAutospacing="0" w:after="0" w:afterAutospacing="0" w:line="216" w:lineRule="auto"/>
                        <w:textAlignment w:val="baseline"/>
                        <w:rPr>
                          <w:rFonts w:asciiTheme="minorHAnsi" w:hAnsiTheme="minorHAnsi"/>
                          <w:sz w:val="18"/>
                          <w:lang w:val="en-US"/>
                        </w:rPr>
                      </w:pPr>
                      <w:r>
                        <w:rPr>
                          <w:rFonts w:asciiTheme="minorHAnsi" w:eastAsiaTheme="majorEastAsia" w:hAnsiTheme="minorHAnsi" w:cstheme="majorBidi"/>
                          <w:color w:val="000000" w:themeColor="text1"/>
                          <w:kern w:val="24"/>
                          <w:szCs w:val="36"/>
                          <w:lang w:val="en-GB"/>
                        </w:rPr>
                        <w:t xml:space="preserve">               </w:t>
                      </w:r>
                      <w:r w:rsidRPr="00EC407E">
                        <w:rPr>
                          <w:rFonts w:asciiTheme="minorHAnsi" w:eastAsiaTheme="majorEastAsia" w:hAnsiTheme="minorHAnsi" w:cstheme="majorBidi"/>
                          <w:color w:val="000000" w:themeColor="text1"/>
                          <w:kern w:val="24"/>
                          <w:szCs w:val="36"/>
                          <w:lang w:val="en-GB"/>
                        </w:rPr>
                        <w:t xml:space="preserve">Twinning project </w:t>
                      </w:r>
                      <w:r w:rsidRPr="00D63D55">
                        <w:rPr>
                          <w:rFonts w:asciiTheme="minorHAnsi" w:eastAsiaTheme="majorEastAsia" w:hAnsiTheme="minorHAnsi" w:cstheme="majorBidi"/>
                          <w:color w:val="000000" w:themeColor="text1"/>
                          <w:kern w:val="24"/>
                          <w:szCs w:val="36"/>
                          <w:lang w:val="en-GB"/>
                        </w:rPr>
                        <w:t>ENI/2018/395-401</w:t>
                      </w:r>
                    </w:p>
                  </w:txbxContent>
                </v:textbox>
              </v:rect>
            </w:pict>
          </mc:Fallback>
        </mc:AlternateContent>
      </w:r>
      <w:r w:rsidRPr="00B97F35">
        <w:rPr>
          <w:rFonts w:asciiTheme="minorHAnsi" w:hAnsiTheme="minorHAnsi"/>
          <w:b/>
          <w:caps/>
          <w:noProof/>
          <w:lang w:val="ru-RU" w:eastAsia="ru-RU"/>
        </w:rPr>
        <w:drawing>
          <wp:inline distT="0" distB="0" distL="0" distR="0" wp14:anchorId="7F146298" wp14:editId="4C175402">
            <wp:extent cx="712382" cy="712382"/>
            <wp:effectExtent l="0" t="0" r="0" b="0"/>
            <wp:docPr id="17" name="Picture 17" descr="D:\Projektit\Azerbaidjan_Twinning\Visibility\twinn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jektit\Azerbaidjan_Twinning\Visibility\twinning-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369" cy="712369"/>
                    </a:xfrm>
                    <a:prstGeom prst="rect">
                      <a:avLst/>
                    </a:prstGeom>
                    <a:noFill/>
                    <a:ln>
                      <a:noFill/>
                    </a:ln>
                  </pic:spPr>
                </pic:pic>
              </a:graphicData>
            </a:graphic>
          </wp:inline>
        </w:drawing>
      </w:r>
    </w:p>
    <w:p w:rsidR="0079126B" w:rsidRPr="00B97F35" w:rsidRDefault="0079126B" w:rsidP="0079126B">
      <w:pPr>
        <w:spacing w:before="0"/>
        <w:jc w:val="left"/>
        <w:rPr>
          <w:rFonts w:asciiTheme="minorHAnsi" w:hAnsiTheme="minorHAnsi"/>
          <w:b/>
          <w:caps/>
        </w:rPr>
      </w:pPr>
    </w:p>
    <w:p w:rsidR="0079126B" w:rsidRPr="00B97F35" w:rsidRDefault="0079126B" w:rsidP="0079126B">
      <w:pPr>
        <w:spacing w:before="0"/>
        <w:jc w:val="left"/>
        <w:rPr>
          <w:rFonts w:asciiTheme="minorHAnsi" w:hAnsiTheme="minorHAnsi"/>
          <w:b/>
          <w:caps/>
        </w:rPr>
      </w:pPr>
    </w:p>
    <w:p w:rsidR="0079126B" w:rsidRPr="00B97F35" w:rsidRDefault="0079126B" w:rsidP="0079126B">
      <w:pPr>
        <w:autoSpaceDE w:val="0"/>
        <w:autoSpaceDN w:val="0"/>
        <w:adjustRightInd w:val="0"/>
        <w:spacing w:before="0"/>
        <w:jc w:val="left"/>
        <w:rPr>
          <w:rFonts w:asciiTheme="minorHAnsi" w:eastAsia="Calibri" w:hAnsiTheme="minorHAnsi" w:cs="Calibri"/>
          <w:color w:val="000000"/>
        </w:rPr>
      </w:pPr>
    </w:p>
    <w:p w:rsidR="0079126B" w:rsidRDefault="0079126B" w:rsidP="00FC1620">
      <w:pPr>
        <w:shd w:val="clear" w:color="auto" w:fill="FFFFFF"/>
        <w:spacing w:before="0"/>
        <w:jc w:val="left"/>
        <w:rPr>
          <w:rFonts w:ascii="Calibri" w:hAnsi="Calibri" w:cs="Calibri"/>
          <w:b/>
          <w:sz w:val="28"/>
          <w:szCs w:val="28"/>
        </w:rPr>
      </w:pPr>
      <w:bookmarkStart w:id="0" w:name="_GoBack"/>
      <w:bookmarkEnd w:id="0"/>
    </w:p>
    <w:p w:rsidR="0079126B" w:rsidRDefault="0079126B" w:rsidP="00FC1620">
      <w:pPr>
        <w:shd w:val="clear" w:color="auto" w:fill="FFFFFF"/>
        <w:spacing w:before="0"/>
        <w:jc w:val="left"/>
        <w:rPr>
          <w:rFonts w:ascii="Calibri" w:hAnsi="Calibri" w:cs="Calibri"/>
          <w:b/>
          <w:sz w:val="28"/>
          <w:szCs w:val="28"/>
        </w:rPr>
      </w:pPr>
    </w:p>
    <w:p w:rsidR="0079126B" w:rsidRDefault="0079126B" w:rsidP="0079126B">
      <w:pPr>
        <w:tabs>
          <w:tab w:val="left" w:pos="5625"/>
        </w:tabs>
        <w:rPr>
          <w:rFonts w:ascii="Calibri" w:eastAsia="Calibri" w:hAnsi="Calibri" w:cs="Calibri"/>
        </w:rPr>
      </w:pPr>
      <w:r>
        <w:rPr>
          <w:rFonts w:ascii="Calibri" w:eastAsia="Calibri" w:hAnsi="Calibri" w:cs="Calibri"/>
        </w:rPr>
        <w:t xml:space="preserve">Full name of experts                                                                                           </w:t>
      </w:r>
      <w:r>
        <w:rPr>
          <w:rFonts w:ascii="Calibri" w:eastAsia="Calibri" w:hAnsi="Calibri" w:cs="Calibri"/>
        </w:rPr>
        <w:tab/>
        <w:t xml:space="preserve">              </w:t>
      </w:r>
    </w:p>
    <w:p w:rsidR="0079126B" w:rsidRDefault="0079126B" w:rsidP="0079126B">
      <w:pPr>
        <w:rPr>
          <w:rFonts w:ascii="Calibri" w:eastAsia="Calibri" w:hAnsi="Calibri" w:cs="Calibri"/>
          <w:b/>
        </w:rPr>
      </w:pPr>
      <w:r>
        <w:rPr>
          <w:noProof/>
          <w:lang w:val="ru-RU" w:eastAsia="ru-RU"/>
        </w:rPr>
        <w:drawing>
          <wp:anchor distT="0" distB="0" distL="114300" distR="114300" simplePos="0" relativeHeight="251663360" behindDoc="0" locked="0" layoutInCell="1" allowOverlap="1">
            <wp:simplePos x="0" y="0"/>
            <wp:positionH relativeFrom="column">
              <wp:posOffset>4561205</wp:posOffset>
            </wp:positionH>
            <wp:positionV relativeFrom="paragraph">
              <wp:posOffset>65405</wp:posOffset>
            </wp:positionV>
            <wp:extent cx="1129030" cy="63436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030"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26B" w:rsidRDefault="0079126B" w:rsidP="0079126B">
      <w:pPr>
        <w:rPr>
          <w:rFonts w:ascii="Calibri" w:eastAsia="Calibri" w:hAnsi="Calibri" w:cs="Calibri"/>
        </w:rPr>
      </w:pPr>
      <w:r>
        <w:rPr>
          <w:rFonts w:ascii="Calibri" w:eastAsia="Calibri" w:hAnsi="Calibri" w:cs="Calibri"/>
          <w:b/>
        </w:rPr>
        <w:t xml:space="preserve">Mr. </w:t>
      </w:r>
      <w:proofErr w:type="spellStart"/>
      <w:r>
        <w:rPr>
          <w:rFonts w:ascii="Calibri" w:eastAsia="Calibri" w:hAnsi="Calibri" w:cs="Calibri"/>
          <w:b/>
        </w:rPr>
        <w:t>Mourad</w:t>
      </w:r>
      <w:proofErr w:type="spellEnd"/>
      <w:r>
        <w:rPr>
          <w:rFonts w:ascii="Calibri" w:eastAsia="Calibri" w:hAnsi="Calibri" w:cs="Calibri"/>
          <w:b/>
        </w:rPr>
        <w:t xml:space="preserve"> </w:t>
      </w:r>
      <w:proofErr w:type="spellStart"/>
      <w:r>
        <w:rPr>
          <w:rFonts w:ascii="Calibri" w:eastAsia="Calibri" w:hAnsi="Calibri" w:cs="Calibri"/>
          <w:b/>
        </w:rPr>
        <w:t>Attarça</w:t>
      </w:r>
      <w:proofErr w:type="spellEnd"/>
      <w:r>
        <w:rPr>
          <w:rFonts w:ascii="Calibri" w:eastAsia="Calibri" w:hAnsi="Calibri" w:cs="Calibri"/>
          <w:b/>
        </w:rPr>
        <w:t>, France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Signature</w:t>
      </w:r>
    </w:p>
    <w:p w:rsidR="0079126B" w:rsidRDefault="0079126B" w:rsidP="0079126B">
      <w:pPr>
        <w:rPr>
          <w:rFonts w:ascii="Calibri" w:eastAsia="Calibri" w:hAnsi="Calibri" w:cs="Calibri"/>
        </w:rPr>
      </w:pPr>
    </w:p>
    <w:p w:rsidR="0079126B" w:rsidRDefault="0079126B" w:rsidP="0079126B">
      <w:pPr>
        <w:rPr>
          <w:rFonts w:ascii="Calibri" w:eastAsia="Calibri" w:hAnsi="Calibri" w:cs="Calibri"/>
          <w:b/>
        </w:rPr>
      </w:pPr>
      <w:r>
        <w:rPr>
          <w:noProof/>
          <w:lang w:val="ru-RU" w:eastAsia="ru-RU"/>
        </w:rPr>
        <w:drawing>
          <wp:anchor distT="0" distB="0" distL="114300" distR="114300" simplePos="0" relativeHeight="251662336" behindDoc="0" locked="0" layoutInCell="1" allowOverlap="1">
            <wp:simplePos x="0" y="0"/>
            <wp:positionH relativeFrom="column">
              <wp:posOffset>4619625</wp:posOffset>
            </wp:positionH>
            <wp:positionV relativeFrom="paragraph">
              <wp:posOffset>6985</wp:posOffset>
            </wp:positionV>
            <wp:extent cx="1401445" cy="347345"/>
            <wp:effectExtent l="0" t="0" r="8255" b="0"/>
            <wp:wrapNone/>
            <wp:docPr id="4" name="Рисунок 4" descr="IG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_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44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rPr>
        <w:t xml:space="preserve">Ms. </w:t>
      </w:r>
      <w:proofErr w:type="spellStart"/>
      <w:r>
        <w:rPr>
          <w:rFonts w:ascii="Calibri" w:eastAsia="Calibri" w:hAnsi="Calibri" w:cs="Calibri"/>
          <w:b/>
        </w:rPr>
        <w:t>Ilva</w:t>
      </w:r>
      <w:proofErr w:type="spellEnd"/>
      <w:r>
        <w:rPr>
          <w:rFonts w:ascii="Calibri" w:eastAsia="Calibri" w:hAnsi="Calibri" w:cs="Calibri"/>
          <w:b/>
        </w:rPr>
        <w:t xml:space="preserve"> </w:t>
      </w:r>
      <w:proofErr w:type="spellStart"/>
      <w:r>
        <w:rPr>
          <w:rFonts w:ascii="Calibri" w:eastAsia="Calibri" w:hAnsi="Calibri" w:cs="Calibri"/>
          <w:b/>
        </w:rPr>
        <w:t>Grigoryeva</w:t>
      </w:r>
      <w:proofErr w:type="spellEnd"/>
      <w:r>
        <w:rPr>
          <w:rFonts w:ascii="Calibri" w:eastAsia="Calibri" w:hAnsi="Calibri" w:cs="Calibri"/>
          <w:b/>
        </w:rPr>
        <w:t>, Latvia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Signature</w:t>
      </w:r>
      <w:r>
        <w:rPr>
          <w:rFonts w:ascii="Calibri" w:eastAsia="Calibri" w:hAnsi="Calibri" w:cs="Calibri"/>
          <w:b/>
        </w:rPr>
        <w:t xml:space="preserve"> </w:t>
      </w:r>
    </w:p>
    <w:p w:rsidR="0079126B" w:rsidRDefault="0079126B" w:rsidP="0079126B">
      <w:pPr>
        <w:rPr>
          <w:rFonts w:ascii="Calibri" w:eastAsia="Calibri" w:hAnsi="Calibri" w:cs="Calibri"/>
          <w:b/>
        </w:rPr>
      </w:pPr>
      <w:r>
        <w:rPr>
          <w:noProof/>
          <w:lang w:val="ru-RU" w:eastAsia="ru-RU"/>
        </w:rPr>
        <w:drawing>
          <wp:anchor distT="0" distB="0" distL="114300" distR="114300" simplePos="0" relativeHeight="251661312" behindDoc="0" locked="0" layoutInCell="1" allowOverlap="1">
            <wp:simplePos x="0" y="0"/>
            <wp:positionH relativeFrom="column">
              <wp:posOffset>4514215</wp:posOffset>
            </wp:positionH>
            <wp:positionV relativeFrom="paragraph">
              <wp:posOffset>107315</wp:posOffset>
            </wp:positionV>
            <wp:extent cx="822960" cy="1179195"/>
            <wp:effectExtent l="0" t="0" r="0"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26B" w:rsidRDefault="0079126B" w:rsidP="0079126B">
      <w:pPr>
        <w:rPr>
          <w:rFonts w:ascii="Calibri" w:eastAsia="Calibri" w:hAnsi="Calibri" w:cs="Calibri"/>
          <w:b/>
        </w:rPr>
      </w:pPr>
      <w:r>
        <w:rPr>
          <w:rFonts w:ascii="Calibri" w:eastAsia="Calibri" w:hAnsi="Calibri" w:cs="Calibri"/>
          <w:b/>
        </w:rPr>
        <w:t xml:space="preserve">Ms. Ilona </w:t>
      </w:r>
      <w:proofErr w:type="spellStart"/>
      <w:r>
        <w:rPr>
          <w:rFonts w:ascii="Calibri" w:eastAsia="Calibri" w:hAnsi="Calibri" w:cs="Calibri"/>
          <w:b/>
        </w:rPr>
        <w:t>Kazlauskaite</w:t>
      </w:r>
      <w:proofErr w:type="spellEnd"/>
      <w:r>
        <w:rPr>
          <w:rFonts w:ascii="Calibri" w:eastAsia="Calibri" w:hAnsi="Calibri" w:cs="Calibri"/>
          <w:b/>
        </w:rPr>
        <w:t>, Lithuania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Signature</w:t>
      </w:r>
      <w:r>
        <w:rPr>
          <w:rFonts w:ascii="Calibri" w:eastAsia="Calibri" w:hAnsi="Calibri" w:cs="Calibri"/>
          <w:b/>
        </w:rPr>
        <w:t xml:space="preserve"> </w:t>
      </w:r>
    </w:p>
    <w:p w:rsidR="0079126B" w:rsidRDefault="0079126B" w:rsidP="0079126B">
      <w:pPr>
        <w:rPr>
          <w:rFonts w:ascii="Calibri" w:eastAsia="Calibri" w:hAnsi="Calibri" w:cs="Calibri"/>
        </w:rPr>
      </w:pPr>
    </w:p>
    <w:p w:rsidR="0079126B" w:rsidRDefault="0079126B" w:rsidP="0079126B">
      <w:pPr>
        <w:rPr>
          <w:rFonts w:ascii="Calibri" w:eastAsia="Calibri" w:hAnsi="Calibri" w:cs="Calibri"/>
          <w:b/>
        </w:rPr>
      </w:pPr>
      <w:r>
        <w:rPr>
          <w:rFonts w:ascii="Calibri" w:eastAsia="Calibri" w:hAnsi="Calibri" w:cs="Calibri"/>
          <w:b/>
        </w:rPr>
        <w:t xml:space="preserve"> </w:t>
      </w:r>
    </w:p>
    <w:p w:rsidR="0079126B" w:rsidRDefault="0079126B" w:rsidP="00FC1620">
      <w:pPr>
        <w:shd w:val="clear" w:color="auto" w:fill="FFFFFF"/>
        <w:spacing w:before="0"/>
        <w:jc w:val="left"/>
        <w:rPr>
          <w:rFonts w:ascii="Calibri" w:hAnsi="Calibri" w:cs="Calibri"/>
          <w:b/>
          <w:sz w:val="28"/>
          <w:szCs w:val="28"/>
        </w:rPr>
      </w:pPr>
    </w:p>
    <w:p w:rsidR="0079126B" w:rsidRDefault="0079126B" w:rsidP="00FC1620">
      <w:pPr>
        <w:shd w:val="clear" w:color="auto" w:fill="FFFFFF"/>
        <w:spacing w:before="0"/>
        <w:jc w:val="left"/>
        <w:rPr>
          <w:rFonts w:ascii="Calibri" w:hAnsi="Calibri" w:cs="Calibri"/>
          <w:b/>
          <w:sz w:val="28"/>
          <w:szCs w:val="28"/>
        </w:rPr>
      </w:pPr>
    </w:p>
    <w:p w:rsidR="00FC1620" w:rsidRPr="000A7F8D" w:rsidRDefault="00FC1620" w:rsidP="00FC1620">
      <w:pPr>
        <w:shd w:val="clear" w:color="auto" w:fill="FFFFFF"/>
        <w:spacing w:before="0"/>
        <w:jc w:val="left"/>
        <w:rPr>
          <w:rFonts w:ascii="Calibri" w:hAnsi="Calibri" w:cs="Calibri"/>
          <w:b/>
          <w:sz w:val="28"/>
          <w:szCs w:val="28"/>
        </w:rPr>
      </w:pPr>
      <w:r w:rsidRPr="000A7F8D">
        <w:rPr>
          <w:rFonts w:ascii="Calibri" w:hAnsi="Calibri" w:cs="Calibri"/>
          <w:b/>
          <w:sz w:val="28"/>
          <w:szCs w:val="28"/>
        </w:rPr>
        <w:t>Guidelines for student-centred learning at study programme</w:t>
      </w:r>
    </w:p>
    <w:p w:rsidR="00FC1620" w:rsidRPr="000A7F8D" w:rsidRDefault="00FC1620" w:rsidP="00FC1620">
      <w:pPr>
        <w:shd w:val="clear" w:color="auto" w:fill="FFFFFF"/>
        <w:spacing w:before="0"/>
        <w:jc w:val="center"/>
        <w:rPr>
          <w:rFonts w:ascii="Calibri" w:hAnsi="Calibri" w:cs="Calibri"/>
          <w:b/>
        </w:rPr>
      </w:pPr>
    </w:p>
    <w:p w:rsidR="00FC1620" w:rsidRDefault="00FC1620" w:rsidP="00FC1620">
      <w:pPr>
        <w:spacing w:before="0"/>
        <w:rPr>
          <w:rFonts w:ascii="Calibri" w:hAnsi="Calibri" w:cs="Calibri"/>
          <w:i/>
        </w:rPr>
      </w:pPr>
      <w:proofErr w:type="gramStart"/>
      <w:r w:rsidRPr="007A6E8F">
        <w:rPr>
          <w:rFonts w:ascii="Calibri" w:hAnsi="Calibri" w:cs="Calibri"/>
        </w:rPr>
        <w:t xml:space="preserve">“ </w:t>
      </w:r>
      <w:r w:rsidRPr="004D5948">
        <w:rPr>
          <w:rFonts w:ascii="Calibri" w:hAnsi="Calibri" w:cs="Calibri"/>
          <w:i/>
        </w:rPr>
        <w:t>I’m</w:t>
      </w:r>
      <w:proofErr w:type="gramEnd"/>
      <w:r w:rsidRPr="004D5948">
        <w:rPr>
          <w:rFonts w:ascii="Calibri" w:hAnsi="Calibri" w:cs="Calibri"/>
          <w:i/>
        </w:rPr>
        <w:t xml:space="preserve"> always ready to learn although I do not always like being taught”</w:t>
      </w:r>
      <w:r>
        <w:rPr>
          <w:rFonts w:ascii="Calibri" w:hAnsi="Calibri" w:cs="Calibri"/>
        </w:rPr>
        <w:t xml:space="preserve"> (</w:t>
      </w:r>
      <w:r w:rsidRPr="007A6E8F">
        <w:rPr>
          <w:rFonts w:ascii="Calibri" w:hAnsi="Calibri" w:cs="Calibri"/>
          <w:i/>
        </w:rPr>
        <w:t>Winston Churchill</w:t>
      </w:r>
      <w:r>
        <w:rPr>
          <w:rFonts w:ascii="Calibri" w:hAnsi="Calibri" w:cs="Calibri"/>
          <w:i/>
        </w:rPr>
        <w:t>)</w:t>
      </w:r>
    </w:p>
    <w:p w:rsidR="00FC1620" w:rsidRDefault="00FC1620" w:rsidP="00FC1620">
      <w:pPr>
        <w:spacing w:before="0"/>
        <w:rPr>
          <w:rFonts w:ascii="Calibri" w:hAnsi="Calibri" w:cs="Calibri"/>
          <w:i/>
        </w:rPr>
      </w:pPr>
    </w:p>
    <w:p w:rsidR="00FC1620" w:rsidRPr="007A6E8F" w:rsidRDefault="00FC1620" w:rsidP="00FC1620">
      <w:pPr>
        <w:spacing w:before="0"/>
        <w:rPr>
          <w:rFonts w:ascii="Calibri" w:hAnsi="Calibri" w:cs="Calibri"/>
        </w:rPr>
      </w:pPr>
      <w:r w:rsidRPr="004D5948">
        <w:rPr>
          <w:rFonts w:ascii="Calibri" w:hAnsi="Calibri" w:cs="Calibri"/>
        </w:rPr>
        <w:t>“</w:t>
      </w:r>
      <w:r w:rsidRPr="004D5948">
        <w:rPr>
          <w:rFonts w:ascii="Calibri" w:hAnsi="Calibri" w:cs="Calibri"/>
          <w:i/>
        </w:rPr>
        <w:t>Learning results from what the student does and thinks, and only from what the student does and thinks. The teacher can advance learning only by influencing what the student does to learn</w:t>
      </w:r>
      <w:r w:rsidRPr="004D5948">
        <w:rPr>
          <w:rFonts w:ascii="Calibri" w:hAnsi="Calibri" w:cs="Calibri"/>
        </w:rPr>
        <w:t xml:space="preserve">” </w:t>
      </w:r>
      <w:r>
        <w:rPr>
          <w:rFonts w:ascii="Calibri" w:hAnsi="Calibri" w:cs="Calibri"/>
        </w:rPr>
        <w:t xml:space="preserve">(Herbert Simon, </w:t>
      </w:r>
      <w:r w:rsidRPr="004D5948">
        <w:rPr>
          <w:rFonts w:ascii="Calibri" w:hAnsi="Calibri" w:cs="Calibri"/>
        </w:rPr>
        <w:t>Nobel Prize 1978)</w:t>
      </w:r>
    </w:p>
    <w:p w:rsidR="00FC1620" w:rsidRDefault="00FC1620" w:rsidP="00FC1620">
      <w:pPr>
        <w:spacing w:before="0"/>
        <w:rPr>
          <w:rFonts w:ascii="Calibri" w:hAnsi="Calibri" w:cs="Calibri"/>
          <w:b/>
        </w:rPr>
      </w:pPr>
    </w:p>
    <w:p w:rsidR="00FC1620" w:rsidRPr="004752B0" w:rsidRDefault="00FC1620" w:rsidP="00FC1620">
      <w:pPr>
        <w:spacing w:before="0"/>
        <w:jc w:val="left"/>
        <w:rPr>
          <w:rFonts w:ascii="Calibri" w:hAnsi="Calibri" w:cs="Calibri"/>
        </w:rPr>
      </w:pPr>
      <w:r w:rsidRPr="004752B0">
        <w:rPr>
          <w:rFonts w:ascii="Calibri" w:hAnsi="Calibri" w:cs="Calibri"/>
        </w:rPr>
        <w:t>“Student-Centred Learning (S</w:t>
      </w:r>
      <w:r>
        <w:rPr>
          <w:rFonts w:ascii="Calibri" w:hAnsi="Calibri" w:cs="Calibri"/>
        </w:rPr>
        <w:t xml:space="preserve">CL) is a process of qualitative </w:t>
      </w:r>
      <w:r w:rsidRPr="004752B0">
        <w:rPr>
          <w:rFonts w:ascii="Calibri" w:hAnsi="Calibri" w:cs="Calibri"/>
        </w:rPr>
        <w:t>transformation for students a</w:t>
      </w:r>
      <w:r>
        <w:rPr>
          <w:rFonts w:ascii="Calibri" w:hAnsi="Calibri" w:cs="Calibri"/>
        </w:rPr>
        <w:t xml:space="preserve">nd other learners in a learning </w:t>
      </w:r>
      <w:r w:rsidRPr="004752B0">
        <w:rPr>
          <w:rFonts w:ascii="Calibri" w:hAnsi="Calibri" w:cs="Calibri"/>
        </w:rPr>
        <w:t>environment, aimed at enhancing thei</w:t>
      </w:r>
      <w:r>
        <w:rPr>
          <w:rFonts w:ascii="Calibri" w:hAnsi="Calibri" w:cs="Calibri"/>
        </w:rPr>
        <w:t>r autonomy and critical ability through an outcome based approach” (</w:t>
      </w:r>
      <w:r w:rsidRPr="004752B0">
        <w:rPr>
          <w:rFonts w:ascii="Calibri" w:hAnsi="Calibri" w:cs="Calibri"/>
        </w:rPr>
        <w:t>ECTS Users’ Guide 2015</w:t>
      </w:r>
      <w:r>
        <w:rPr>
          <w:rFonts w:ascii="Calibri" w:hAnsi="Calibri" w:cs="Calibri"/>
        </w:rPr>
        <w:t>).</w:t>
      </w:r>
    </w:p>
    <w:p w:rsidR="00FC1620" w:rsidRDefault="00FC1620" w:rsidP="00FC1620">
      <w:pPr>
        <w:spacing w:before="0"/>
        <w:jc w:val="left"/>
        <w:rPr>
          <w:rFonts w:ascii="Calibri" w:hAnsi="Calibri" w:cs="Calibri"/>
        </w:rPr>
      </w:pPr>
    </w:p>
    <w:p w:rsidR="00FC1620" w:rsidRDefault="00FC1620" w:rsidP="00FC1620">
      <w:pPr>
        <w:spacing w:before="0"/>
        <w:jc w:val="left"/>
        <w:rPr>
          <w:rFonts w:ascii="Calibri" w:hAnsi="Calibri" w:cs="Calibri"/>
        </w:rPr>
      </w:pPr>
      <w:r w:rsidRPr="004752B0">
        <w:rPr>
          <w:rFonts w:ascii="Calibri" w:hAnsi="Calibri" w:cs="Calibri"/>
        </w:rPr>
        <w:t>The SCL concept can be summaris</w:t>
      </w:r>
      <w:r>
        <w:rPr>
          <w:rFonts w:ascii="Calibri" w:hAnsi="Calibri" w:cs="Calibri"/>
        </w:rPr>
        <w:t>ed into the following elements:</w:t>
      </w:r>
    </w:p>
    <w:p w:rsidR="00FC1620" w:rsidRDefault="00FC1620" w:rsidP="00FC1620">
      <w:pPr>
        <w:numPr>
          <w:ilvl w:val="0"/>
          <w:numId w:val="8"/>
        </w:numPr>
        <w:spacing w:before="0"/>
        <w:jc w:val="left"/>
        <w:rPr>
          <w:rFonts w:ascii="Calibri" w:hAnsi="Calibri" w:cs="Calibri"/>
        </w:rPr>
      </w:pPr>
      <w:r w:rsidRPr="004752B0">
        <w:rPr>
          <w:rFonts w:ascii="Calibri" w:hAnsi="Calibri" w:cs="Calibri"/>
        </w:rPr>
        <w:t>Reliance on activ</w:t>
      </w:r>
      <w:r>
        <w:rPr>
          <w:rFonts w:ascii="Calibri" w:hAnsi="Calibri" w:cs="Calibri"/>
        </w:rPr>
        <w:t>e rather than passive learning;</w:t>
      </w:r>
    </w:p>
    <w:p w:rsidR="00FC1620" w:rsidRDefault="00FC1620" w:rsidP="00FC1620">
      <w:pPr>
        <w:numPr>
          <w:ilvl w:val="0"/>
          <w:numId w:val="8"/>
        </w:numPr>
        <w:spacing w:before="0"/>
        <w:jc w:val="left"/>
        <w:rPr>
          <w:rFonts w:ascii="Calibri" w:hAnsi="Calibri" w:cs="Calibri"/>
        </w:rPr>
      </w:pPr>
      <w:r w:rsidRPr="004752B0">
        <w:rPr>
          <w:rFonts w:ascii="Calibri" w:hAnsi="Calibri" w:cs="Calibri"/>
        </w:rPr>
        <w:t>Emphasis on critical and analyti</w:t>
      </w:r>
      <w:r>
        <w:rPr>
          <w:rFonts w:ascii="Calibri" w:hAnsi="Calibri" w:cs="Calibri"/>
        </w:rPr>
        <w:t>cal learning and understanding;</w:t>
      </w:r>
    </w:p>
    <w:p w:rsidR="00FC1620" w:rsidRDefault="00FC1620" w:rsidP="00FC1620">
      <w:pPr>
        <w:numPr>
          <w:ilvl w:val="0"/>
          <w:numId w:val="8"/>
        </w:numPr>
        <w:spacing w:before="0"/>
        <w:jc w:val="left"/>
        <w:rPr>
          <w:rFonts w:ascii="Calibri" w:hAnsi="Calibri" w:cs="Calibri"/>
        </w:rPr>
      </w:pPr>
      <w:r w:rsidRPr="004752B0">
        <w:rPr>
          <w:rFonts w:ascii="Calibri" w:hAnsi="Calibri" w:cs="Calibri"/>
        </w:rPr>
        <w:t>Increased responsibility and accountabil</w:t>
      </w:r>
      <w:r>
        <w:rPr>
          <w:rFonts w:ascii="Calibri" w:hAnsi="Calibri" w:cs="Calibri"/>
        </w:rPr>
        <w:t>ity on the part of the student;</w:t>
      </w:r>
    </w:p>
    <w:p w:rsidR="00FC1620" w:rsidRDefault="00FC1620" w:rsidP="00FC1620">
      <w:pPr>
        <w:numPr>
          <w:ilvl w:val="0"/>
          <w:numId w:val="8"/>
        </w:numPr>
        <w:spacing w:before="0"/>
        <w:jc w:val="left"/>
        <w:rPr>
          <w:rFonts w:ascii="Calibri" w:hAnsi="Calibri" w:cs="Calibri"/>
        </w:rPr>
      </w:pPr>
      <w:r w:rsidRPr="004752B0">
        <w:rPr>
          <w:rFonts w:ascii="Calibri" w:hAnsi="Calibri" w:cs="Calibri"/>
        </w:rPr>
        <w:t>Increased autonom</w:t>
      </w:r>
      <w:r>
        <w:rPr>
          <w:rFonts w:ascii="Calibri" w:hAnsi="Calibri" w:cs="Calibri"/>
        </w:rPr>
        <w:t>y of the student;</w:t>
      </w:r>
    </w:p>
    <w:p w:rsidR="00FC1620" w:rsidRPr="004752B0" w:rsidRDefault="00FC1620" w:rsidP="00FC1620">
      <w:pPr>
        <w:numPr>
          <w:ilvl w:val="0"/>
          <w:numId w:val="8"/>
        </w:numPr>
        <w:spacing w:before="0"/>
        <w:jc w:val="left"/>
        <w:rPr>
          <w:rFonts w:ascii="Calibri" w:hAnsi="Calibri" w:cs="Calibri"/>
        </w:rPr>
      </w:pPr>
      <w:r w:rsidRPr="004752B0">
        <w:rPr>
          <w:rFonts w:ascii="Calibri" w:hAnsi="Calibri" w:cs="Calibri"/>
        </w:rPr>
        <w:t>A reflective approach to the learning and teach</w:t>
      </w:r>
      <w:r>
        <w:rPr>
          <w:rFonts w:ascii="Calibri" w:hAnsi="Calibri" w:cs="Calibri"/>
        </w:rPr>
        <w:t xml:space="preserve">ing process on the part of both </w:t>
      </w:r>
      <w:r w:rsidRPr="004752B0">
        <w:rPr>
          <w:rFonts w:ascii="Calibri" w:hAnsi="Calibri" w:cs="Calibri"/>
        </w:rPr>
        <w:t>the student and the teacher.”</w:t>
      </w:r>
    </w:p>
    <w:p w:rsidR="00FC1620" w:rsidRPr="000A7F8D" w:rsidRDefault="00FC1620" w:rsidP="00FC1620">
      <w:pPr>
        <w:spacing w:before="0"/>
        <w:rPr>
          <w:rFonts w:ascii="Calibri" w:hAnsi="Calibri" w:cs="Calibri"/>
          <w:b/>
        </w:rPr>
      </w:pPr>
    </w:p>
    <w:p w:rsidR="00FC1620" w:rsidRPr="000A7F8D" w:rsidRDefault="00FC1620" w:rsidP="00FC1620">
      <w:pPr>
        <w:pStyle w:val="a3"/>
        <w:numPr>
          <w:ilvl w:val="0"/>
          <w:numId w:val="2"/>
        </w:numPr>
        <w:spacing w:before="0"/>
        <w:ind w:left="284" w:hanging="284"/>
        <w:jc w:val="left"/>
        <w:rPr>
          <w:rFonts w:ascii="Calibri" w:hAnsi="Calibri" w:cs="Calibri"/>
          <w:b/>
          <w:sz w:val="24"/>
          <w:szCs w:val="24"/>
        </w:rPr>
      </w:pPr>
      <w:r w:rsidRPr="000A7F8D">
        <w:rPr>
          <w:rFonts w:ascii="Calibri" w:hAnsi="Calibri" w:cs="Calibri"/>
          <w:b/>
          <w:sz w:val="24"/>
          <w:szCs w:val="24"/>
        </w:rPr>
        <w:t xml:space="preserve">The principles of a student-centred </w:t>
      </w:r>
      <w:proofErr w:type="gramStart"/>
      <w:r w:rsidRPr="000A7F8D">
        <w:rPr>
          <w:rFonts w:ascii="Calibri" w:hAnsi="Calibri" w:cs="Calibri"/>
          <w:b/>
          <w:sz w:val="24"/>
          <w:szCs w:val="24"/>
        </w:rPr>
        <w:t xml:space="preserve">learning  </w:t>
      </w:r>
      <w:r>
        <w:rPr>
          <w:rFonts w:ascii="Calibri" w:hAnsi="Calibri" w:cs="Calibri"/>
          <w:b/>
          <w:sz w:val="24"/>
          <w:szCs w:val="24"/>
        </w:rPr>
        <w:t>(</w:t>
      </w:r>
      <w:proofErr w:type="gramEnd"/>
      <w:r>
        <w:rPr>
          <w:rFonts w:ascii="Calibri" w:hAnsi="Calibri" w:cs="Calibri"/>
          <w:b/>
          <w:sz w:val="24"/>
          <w:szCs w:val="24"/>
        </w:rPr>
        <w:t>SCL)</w:t>
      </w:r>
    </w:p>
    <w:p w:rsidR="00FC1620" w:rsidRPr="000A7F8D" w:rsidRDefault="00FC1620" w:rsidP="00FC1620">
      <w:pPr>
        <w:pStyle w:val="a3"/>
        <w:spacing w:before="0"/>
        <w:ind w:left="284"/>
        <w:rPr>
          <w:rFonts w:ascii="Calibri" w:hAnsi="Calibri" w:cs="Calibri"/>
          <w:b/>
        </w:rPr>
      </w:pPr>
    </w:p>
    <w:p w:rsidR="00FC1620" w:rsidRPr="00AB7B82" w:rsidRDefault="00FC1620" w:rsidP="00FC1620">
      <w:pPr>
        <w:spacing w:before="0"/>
        <w:rPr>
          <w:rFonts w:ascii="Calibri" w:hAnsi="Calibri" w:cs="Calibri"/>
          <w:iCs/>
          <w:lang w:val="en-US"/>
        </w:rPr>
      </w:pPr>
      <w:r w:rsidRPr="00AB7B82">
        <w:rPr>
          <w:rFonts w:ascii="Calibri" w:hAnsi="Calibri" w:cs="Calibri"/>
          <w:iCs/>
          <w:lang w:val="en-US"/>
        </w:rPr>
        <w:t>The main principles of student-</w:t>
      </w:r>
      <w:proofErr w:type="spellStart"/>
      <w:r w:rsidRPr="00AB7B82">
        <w:rPr>
          <w:rFonts w:ascii="Calibri" w:hAnsi="Calibri" w:cs="Calibri"/>
          <w:iCs/>
          <w:lang w:val="en-US"/>
        </w:rPr>
        <w:t>centred</w:t>
      </w:r>
      <w:proofErr w:type="spellEnd"/>
      <w:r w:rsidRPr="00AB7B82">
        <w:rPr>
          <w:rFonts w:ascii="Calibri" w:hAnsi="Calibri" w:cs="Calibri"/>
          <w:iCs/>
          <w:lang w:val="en-US"/>
        </w:rPr>
        <w:t xml:space="preserve"> learning are:</w:t>
      </w:r>
    </w:p>
    <w:p w:rsidR="00FC1620" w:rsidRPr="00AB7B82" w:rsidRDefault="00FC1620" w:rsidP="00FC1620">
      <w:pPr>
        <w:spacing w:before="0"/>
        <w:rPr>
          <w:rFonts w:ascii="Calibri" w:hAnsi="Calibri" w:cs="Calibri"/>
          <w:lang w:val="lt-LT"/>
        </w:rPr>
      </w:pPr>
    </w:p>
    <w:p w:rsidR="00FC1620" w:rsidRPr="00AB7B82" w:rsidRDefault="00FC1620" w:rsidP="00FC1620">
      <w:pPr>
        <w:numPr>
          <w:ilvl w:val="0"/>
          <w:numId w:val="7"/>
        </w:numPr>
        <w:spacing w:before="0"/>
        <w:rPr>
          <w:rFonts w:ascii="Calibri" w:hAnsi="Calibri" w:cs="Calibri"/>
          <w:lang w:val="lt-LT"/>
        </w:rPr>
      </w:pPr>
      <w:r w:rsidRPr="00AB7B82">
        <w:rPr>
          <w:rFonts w:ascii="Calibri" w:hAnsi="Calibri" w:cs="Calibri"/>
          <w:iCs/>
          <w:lang w:val="en-US"/>
        </w:rPr>
        <w:t>The learner has full responsibility for his/her learning</w:t>
      </w:r>
    </w:p>
    <w:p w:rsidR="00FC1620" w:rsidRPr="00AB7B82" w:rsidRDefault="00FC1620" w:rsidP="00FC1620">
      <w:pPr>
        <w:numPr>
          <w:ilvl w:val="0"/>
          <w:numId w:val="7"/>
        </w:numPr>
        <w:spacing w:before="0"/>
        <w:rPr>
          <w:rFonts w:ascii="Calibri" w:hAnsi="Calibri" w:cs="Calibri"/>
          <w:lang w:val="lt-LT"/>
        </w:rPr>
      </w:pPr>
      <w:r w:rsidRPr="00AB7B82">
        <w:rPr>
          <w:rFonts w:ascii="Calibri" w:hAnsi="Calibri" w:cs="Calibri"/>
          <w:iCs/>
          <w:lang w:val="en-US"/>
        </w:rPr>
        <w:t>Involvement and participation are necessary for learning</w:t>
      </w:r>
    </w:p>
    <w:p w:rsidR="00FC1620" w:rsidRPr="00AB7B82" w:rsidRDefault="00FC1620" w:rsidP="00FC1620">
      <w:pPr>
        <w:numPr>
          <w:ilvl w:val="0"/>
          <w:numId w:val="7"/>
        </w:numPr>
        <w:spacing w:before="0"/>
        <w:rPr>
          <w:rFonts w:ascii="Calibri" w:hAnsi="Calibri" w:cs="Calibri"/>
          <w:lang w:val="lt-LT"/>
        </w:rPr>
      </w:pPr>
      <w:r w:rsidRPr="00AB7B82">
        <w:rPr>
          <w:rFonts w:ascii="Calibri" w:hAnsi="Calibri" w:cs="Calibri"/>
          <w:iCs/>
          <w:lang w:val="en-US"/>
        </w:rPr>
        <w:t xml:space="preserve">The relationship between learners and teachers is more equal, </w:t>
      </w:r>
      <w:r w:rsidRPr="00AB7B82">
        <w:rPr>
          <w:rFonts w:ascii="Calibri" w:hAnsi="Calibri" w:cs="Calibri"/>
          <w:iCs/>
          <w:lang w:val="lt-LT"/>
        </w:rPr>
        <w:t>promoting growth, development</w:t>
      </w:r>
    </w:p>
    <w:p w:rsidR="00FC1620" w:rsidRPr="00AB7B82" w:rsidRDefault="00FC1620" w:rsidP="00FC1620">
      <w:pPr>
        <w:numPr>
          <w:ilvl w:val="0"/>
          <w:numId w:val="7"/>
        </w:numPr>
        <w:spacing w:before="0"/>
        <w:rPr>
          <w:rFonts w:ascii="Calibri" w:hAnsi="Calibri" w:cs="Calibri"/>
          <w:lang w:val="lt-LT"/>
        </w:rPr>
      </w:pPr>
      <w:r w:rsidRPr="00AB7B82">
        <w:rPr>
          <w:rFonts w:ascii="Calibri" w:hAnsi="Calibri" w:cs="Calibri"/>
          <w:iCs/>
          <w:lang w:val="en-US"/>
        </w:rPr>
        <w:t>The teacher becomes a facilitator and resource person</w:t>
      </w:r>
    </w:p>
    <w:p w:rsidR="00FC1620" w:rsidRPr="00AB7B82" w:rsidRDefault="00FC1620" w:rsidP="00FC1620">
      <w:pPr>
        <w:numPr>
          <w:ilvl w:val="0"/>
          <w:numId w:val="7"/>
        </w:numPr>
        <w:spacing w:before="0"/>
        <w:rPr>
          <w:rFonts w:ascii="Calibri" w:hAnsi="Calibri" w:cs="Calibri"/>
          <w:lang w:val="lt-LT"/>
        </w:rPr>
      </w:pPr>
      <w:r w:rsidRPr="00AB7B82">
        <w:rPr>
          <w:rFonts w:ascii="Calibri" w:hAnsi="Calibri" w:cs="Calibri"/>
          <w:iCs/>
          <w:lang w:val="en-US"/>
        </w:rPr>
        <w:t>The learner experiences ‘confluence’ in his/her education</w:t>
      </w:r>
    </w:p>
    <w:p w:rsidR="00FC1620" w:rsidRPr="00AB7B82" w:rsidRDefault="00FC1620" w:rsidP="00FC1620">
      <w:pPr>
        <w:numPr>
          <w:ilvl w:val="0"/>
          <w:numId w:val="7"/>
        </w:numPr>
        <w:spacing w:before="0"/>
        <w:rPr>
          <w:rFonts w:ascii="Calibri" w:hAnsi="Calibri" w:cs="Calibri"/>
        </w:rPr>
      </w:pPr>
      <w:r w:rsidRPr="00AB7B82">
        <w:rPr>
          <w:rFonts w:ascii="Calibri" w:hAnsi="Calibri" w:cs="Calibri"/>
          <w:iCs/>
          <w:lang w:val="en-US"/>
        </w:rPr>
        <w:t xml:space="preserve">The learner sees himself/herself differently as a result of </w:t>
      </w:r>
      <w:r w:rsidRPr="00AB7B82">
        <w:rPr>
          <w:rFonts w:ascii="Calibri" w:hAnsi="Calibri" w:cs="Calibri"/>
          <w:iCs/>
          <w:lang w:val="lt-LT"/>
        </w:rPr>
        <w:t>the learning experience</w:t>
      </w:r>
    </w:p>
    <w:p w:rsidR="00FC1620" w:rsidRPr="000A7F8D" w:rsidRDefault="00FC1620" w:rsidP="00FC1620">
      <w:pPr>
        <w:spacing w:before="0"/>
        <w:rPr>
          <w:rFonts w:ascii="Calibri" w:hAnsi="Calibri" w:cs="Calibri"/>
        </w:rPr>
      </w:pPr>
    </w:p>
    <w:p w:rsidR="00FC1620" w:rsidRPr="000A7F8D" w:rsidRDefault="00FC1620" w:rsidP="00FC1620">
      <w:pPr>
        <w:spacing w:before="0"/>
        <w:rPr>
          <w:rFonts w:ascii="Calibri" w:hAnsi="Calibri" w:cs="Calibri"/>
          <w:b/>
        </w:rPr>
      </w:pPr>
      <w:r w:rsidRPr="000A7F8D">
        <w:rPr>
          <w:rFonts w:ascii="Calibri" w:hAnsi="Calibri" w:cs="Calibri"/>
          <w:b/>
          <w:sz w:val="24"/>
          <w:szCs w:val="24"/>
        </w:rPr>
        <w:t>Definition of Student-centred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FC1620" w:rsidRPr="00A9483B" w:rsidTr="00BC107B">
        <w:tc>
          <w:tcPr>
            <w:tcW w:w="9062" w:type="dxa"/>
            <w:shd w:val="clear" w:color="auto" w:fill="DAEEF3"/>
          </w:tcPr>
          <w:p w:rsidR="00FC1620" w:rsidRPr="00344149" w:rsidRDefault="00FC1620" w:rsidP="00BC107B">
            <w:pPr>
              <w:spacing w:before="0"/>
              <w:rPr>
                <w:rFonts w:ascii="Calibri" w:hAnsi="Calibri" w:cs="Calibri"/>
              </w:rPr>
            </w:pPr>
          </w:p>
          <w:p w:rsidR="00FC1620" w:rsidRPr="00344149" w:rsidRDefault="00FC1620" w:rsidP="00BC107B">
            <w:pPr>
              <w:spacing w:before="0"/>
              <w:rPr>
                <w:rFonts w:ascii="Calibri" w:hAnsi="Calibri" w:cs="Calibri"/>
              </w:rPr>
            </w:pPr>
            <w:r w:rsidRPr="00344149">
              <w:rPr>
                <w:rFonts w:ascii="Calibri" w:hAnsi="Calibri" w:cs="Calibri"/>
              </w:rPr>
              <w:t xml:space="preserve">Student-centred learning (SCL) remains a debated concept with no one clear definition available, since multiple interpretations co-exist which exclude each other. </w:t>
            </w:r>
          </w:p>
          <w:p w:rsidR="00FC1620" w:rsidRPr="00344149" w:rsidRDefault="00FC1620" w:rsidP="00BC107B">
            <w:pPr>
              <w:spacing w:before="0"/>
              <w:rPr>
                <w:rFonts w:ascii="Calibri" w:hAnsi="Calibri" w:cs="Calibri"/>
              </w:rPr>
            </w:pPr>
          </w:p>
          <w:p w:rsidR="00FC1620" w:rsidRPr="00344149" w:rsidRDefault="00FC1620" w:rsidP="00BC107B">
            <w:pPr>
              <w:spacing w:before="0"/>
              <w:rPr>
                <w:rFonts w:ascii="Calibri" w:hAnsi="Calibri" w:cs="Calibri"/>
                <w:i/>
                <w:iCs/>
              </w:rPr>
            </w:pPr>
            <w:r w:rsidRPr="00344149">
              <w:rPr>
                <w:rFonts w:ascii="Calibri" w:hAnsi="Calibri" w:cs="Calibri"/>
              </w:rPr>
              <w:t xml:space="preserve">“Student-Centred Learning represents both a </w:t>
            </w:r>
            <w:proofErr w:type="spellStart"/>
            <w:r w:rsidRPr="00344149">
              <w:rPr>
                <w:rFonts w:ascii="Calibri" w:hAnsi="Calibri" w:cs="Calibri"/>
              </w:rPr>
              <w:t>mindset</w:t>
            </w:r>
            <w:proofErr w:type="spellEnd"/>
            <w:r w:rsidRPr="00344149">
              <w:rPr>
                <w:rFonts w:ascii="Calibri" w:hAnsi="Calibri" w:cs="Calibri"/>
              </w:rPr>
              <w:t xml:space="preserve"> and a culture within a given higher education institution and is a learning approach which is broadly related to, and supported by, constructivist theories of learning. It is characterised by innovative methods of teaching which aim to promote learning in communication with teachers and other learners and which take students seriously as active participants in their own learning, fostering transferable skills such as problem-solving, critical thinking and reflective thinking.” </w:t>
            </w:r>
            <w:r w:rsidRPr="00344149">
              <w:rPr>
                <w:rFonts w:ascii="Calibri" w:hAnsi="Calibri" w:cs="Calibri"/>
                <w:i/>
                <w:iCs/>
              </w:rPr>
              <w:t>(Student-</w:t>
            </w:r>
            <w:proofErr w:type="spellStart"/>
            <w:r w:rsidRPr="00344149">
              <w:rPr>
                <w:rFonts w:ascii="Calibri" w:hAnsi="Calibri" w:cs="Calibri"/>
                <w:i/>
                <w:iCs/>
              </w:rPr>
              <w:t>Centered</w:t>
            </w:r>
            <w:proofErr w:type="spellEnd"/>
            <w:r w:rsidRPr="00344149">
              <w:rPr>
                <w:rFonts w:ascii="Calibri" w:hAnsi="Calibri" w:cs="Calibri"/>
                <w:i/>
                <w:iCs/>
              </w:rPr>
              <w:t xml:space="preserve"> Learning Toolkit, publication published on the project “Time for a New Paradigm in Education: Student </w:t>
            </w:r>
            <w:proofErr w:type="spellStart"/>
            <w:r w:rsidRPr="00344149">
              <w:rPr>
                <w:rFonts w:ascii="Calibri" w:hAnsi="Calibri" w:cs="Calibri"/>
                <w:i/>
                <w:iCs/>
              </w:rPr>
              <w:t>Centered</w:t>
            </w:r>
            <w:proofErr w:type="spellEnd"/>
            <w:r w:rsidRPr="00344149">
              <w:rPr>
                <w:rFonts w:ascii="Calibri" w:hAnsi="Calibri" w:cs="Calibri"/>
                <w:i/>
                <w:iCs/>
              </w:rPr>
              <w:t xml:space="preserve"> Learning”, funded with support from the European Commission)</w:t>
            </w:r>
          </w:p>
          <w:p w:rsidR="00FC1620" w:rsidRPr="00344149" w:rsidRDefault="00FC1620" w:rsidP="00BC107B">
            <w:pPr>
              <w:spacing w:before="0"/>
              <w:rPr>
                <w:rFonts w:ascii="Calibri" w:hAnsi="Calibri" w:cs="Calibri"/>
              </w:rPr>
            </w:pPr>
          </w:p>
        </w:tc>
      </w:tr>
    </w:tbl>
    <w:p w:rsidR="00FC1620" w:rsidRPr="000A7F8D" w:rsidRDefault="00FC1620" w:rsidP="00FC1620">
      <w:pPr>
        <w:spacing w:before="0"/>
        <w:rPr>
          <w:rFonts w:ascii="Calibri" w:hAnsi="Calibri" w:cs="Calibri"/>
        </w:rPr>
      </w:pPr>
    </w:p>
    <w:p w:rsidR="00FC1620" w:rsidRDefault="00FC1620" w:rsidP="00FC1620">
      <w:pPr>
        <w:spacing w:before="0"/>
        <w:rPr>
          <w:rFonts w:ascii="Calibri" w:hAnsi="Calibri" w:cs="Calibri"/>
          <w:b/>
          <w:sz w:val="24"/>
          <w:szCs w:val="24"/>
        </w:rPr>
      </w:pPr>
    </w:p>
    <w:p w:rsidR="00FC1620" w:rsidRPr="000A7F8D" w:rsidRDefault="00FC1620" w:rsidP="00FC1620">
      <w:pPr>
        <w:spacing w:before="0"/>
        <w:rPr>
          <w:rFonts w:ascii="Calibri" w:hAnsi="Calibri" w:cs="Calibri"/>
          <w:b/>
          <w:sz w:val="24"/>
          <w:szCs w:val="24"/>
        </w:rPr>
      </w:pPr>
    </w:p>
    <w:p w:rsidR="00FC1620" w:rsidRPr="000A7F8D" w:rsidRDefault="00FC1620" w:rsidP="00FC1620">
      <w:pPr>
        <w:pStyle w:val="a3"/>
        <w:numPr>
          <w:ilvl w:val="0"/>
          <w:numId w:val="2"/>
        </w:numPr>
        <w:spacing w:before="0"/>
        <w:ind w:left="284" w:hanging="284"/>
        <w:rPr>
          <w:rFonts w:ascii="Calibri" w:hAnsi="Calibri" w:cs="Calibri"/>
          <w:b/>
          <w:sz w:val="24"/>
          <w:szCs w:val="24"/>
        </w:rPr>
      </w:pPr>
      <w:r w:rsidRPr="000A7F8D">
        <w:rPr>
          <w:rFonts w:ascii="Calibri" w:hAnsi="Calibri" w:cs="Calibri"/>
          <w:b/>
          <w:sz w:val="24"/>
          <w:szCs w:val="24"/>
        </w:rPr>
        <w:t>Process of designing a student-centred study programme</w:t>
      </w:r>
    </w:p>
    <w:p w:rsidR="00FC1620" w:rsidRPr="000A7F8D" w:rsidRDefault="00FC1620" w:rsidP="00FC1620">
      <w:pPr>
        <w:spacing w:before="0"/>
        <w:rPr>
          <w:rFonts w:ascii="Calibri" w:hAnsi="Calibri" w:cs="Calibri"/>
          <w:b/>
          <w:sz w:val="24"/>
          <w:szCs w:val="24"/>
        </w:rPr>
      </w:pPr>
    </w:p>
    <w:p w:rsidR="00FC1620" w:rsidRPr="000A7F8D" w:rsidRDefault="00FC1620" w:rsidP="00FC1620">
      <w:pPr>
        <w:spacing w:before="0"/>
        <w:rPr>
          <w:rFonts w:ascii="Calibri" w:hAnsi="Calibri" w:cs="Calibri"/>
        </w:rPr>
      </w:pPr>
      <w:r w:rsidRPr="000A7F8D">
        <w:rPr>
          <w:rFonts w:ascii="Calibri" w:hAnsi="Calibri" w:cs="Calibri"/>
        </w:rPr>
        <w:t>The process for designing a student-centred study programme follows several stages:</w:t>
      </w:r>
    </w:p>
    <w:p w:rsidR="00FC1620" w:rsidRPr="000A7F8D" w:rsidRDefault="00FC1620" w:rsidP="00FC1620">
      <w:pPr>
        <w:numPr>
          <w:ilvl w:val="0"/>
          <w:numId w:val="3"/>
        </w:numPr>
        <w:spacing w:before="0"/>
        <w:rPr>
          <w:rFonts w:ascii="Calibri" w:hAnsi="Calibri" w:cs="Calibri"/>
          <w:lang w:val="lt-LT"/>
        </w:rPr>
      </w:pPr>
      <w:r w:rsidRPr="000A7F8D">
        <w:rPr>
          <w:rFonts w:ascii="Calibri" w:hAnsi="Calibri" w:cs="Calibri"/>
          <w:lang w:val="lt-LT"/>
        </w:rPr>
        <w:t>Definition of academic</w:t>
      </w:r>
      <w:r w:rsidRPr="000A7F8D">
        <w:rPr>
          <w:rFonts w:ascii="Calibri" w:hAnsi="Calibri" w:cs="Calibri"/>
          <w:lang w:val="en-US"/>
        </w:rPr>
        <w:t xml:space="preserve"> </w:t>
      </w:r>
      <w:r w:rsidRPr="000A7F8D">
        <w:rPr>
          <w:rFonts w:ascii="Calibri" w:hAnsi="Calibri" w:cs="Calibri"/>
          <w:lang w:val="lt-LT"/>
        </w:rPr>
        <w:t>and professional profiles</w:t>
      </w:r>
    </w:p>
    <w:p w:rsidR="00FC1620" w:rsidRPr="000A7F8D" w:rsidRDefault="00FC1620" w:rsidP="00FC1620">
      <w:pPr>
        <w:numPr>
          <w:ilvl w:val="0"/>
          <w:numId w:val="3"/>
        </w:numPr>
        <w:spacing w:before="0"/>
        <w:rPr>
          <w:rFonts w:ascii="Calibri" w:hAnsi="Calibri" w:cs="Calibri"/>
          <w:lang w:val="lt-LT"/>
        </w:rPr>
      </w:pPr>
      <w:r w:rsidRPr="000A7F8D">
        <w:rPr>
          <w:rFonts w:ascii="Calibri" w:hAnsi="Calibri" w:cs="Calibri"/>
          <w:lang w:val="lt-LT"/>
        </w:rPr>
        <w:t>Identification of</w:t>
      </w:r>
      <w:r w:rsidRPr="000A7F8D">
        <w:rPr>
          <w:rFonts w:ascii="Calibri" w:hAnsi="Calibri" w:cs="Calibri"/>
          <w:lang w:val="en-US"/>
        </w:rPr>
        <w:t xml:space="preserve"> </w:t>
      </w:r>
      <w:r w:rsidRPr="000A7F8D">
        <w:rPr>
          <w:rFonts w:ascii="Calibri" w:hAnsi="Calibri" w:cs="Calibri"/>
          <w:lang w:val="lt-LT"/>
        </w:rPr>
        <w:t>resources</w:t>
      </w:r>
    </w:p>
    <w:p w:rsidR="00FC1620" w:rsidRPr="000A7F8D" w:rsidRDefault="00FC1620" w:rsidP="00FC1620">
      <w:pPr>
        <w:numPr>
          <w:ilvl w:val="0"/>
          <w:numId w:val="3"/>
        </w:numPr>
        <w:spacing w:before="0"/>
        <w:rPr>
          <w:rFonts w:ascii="Calibri" w:hAnsi="Calibri" w:cs="Calibri"/>
          <w:lang w:val="lt-LT"/>
        </w:rPr>
      </w:pPr>
      <w:r w:rsidRPr="000A7F8D">
        <w:rPr>
          <w:rFonts w:ascii="Calibri" w:hAnsi="Calibri" w:cs="Calibri"/>
          <w:lang w:val="lt-LT"/>
        </w:rPr>
        <w:t>Programme design: definition of</w:t>
      </w:r>
      <w:r w:rsidRPr="000A7F8D">
        <w:rPr>
          <w:rFonts w:ascii="Calibri" w:hAnsi="Calibri" w:cs="Calibri"/>
          <w:lang w:val="en-US"/>
        </w:rPr>
        <w:t xml:space="preserve"> </w:t>
      </w:r>
      <w:r w:rsidRPr="000A7F8D">
        <w:rPr>
          <w:rFonts w:ascii="Calibri" w:hAnsi="Calibri" w:cs="Calibri"/>
          <w:lang w:val="lt-LT"/>
        </w:rPr>
        <w:t>learning outcomes / competences</w:t>
      </w:r>
    </w:p>
    <w:p w:rsidR="00FC1620" w:rsidRPr="000A7F8D" w:rsidRDefault="00FC1620" w:rsidP="00FC1620">
      <w:pPr>
        <w:numPr>
          <w:ilvl w:val="0"/>
          <w:numId w:val="3"/>
        </w:numPr>
        <w:spacing w:before="0"/>
        <w:rPr>
          <w:rFonts w:ascii="Calibri" w:hAnsi="Calibri" w:cs="Calibri"/>
          <w:lang w:val="lt-LT"/>
        </w:rPr>
      </w:pPr>
      <w:r w:rsidRPr="000A7F8D">
        <w:rPr>
          <w:rFonts w:ascii="Calibri" w:hAnsi="Calibri" w:cs="Calibri"/>
          <w:lang w:val="lt-LT"/>
        </w:rPr>
        <w:t>construction of</w:t>
      </w:r>
      <w:r w:rsidRPr="000A7F8D">
        <w:rPr>
          <w:rFonts w:ascii="Calibri" w:hAnsi="Calibri" w:cs="Calibri"/>
          <w:lang w:val="en-US"/>
        </w:rPr>
        <w:t xml:space="preserve"> </w:t>
      </w:r>
      <w:r w:rsidRPr="000A7F8D">
        <w:rPr>
          <w:rFonts w:ascii="Calibri" w:hAnsi="Calibri" w:cs="Calibri"/>
          <w:lang w:val="lt-LT"/>
        </w:rPr>
        <w:t>curricula:</w:t>
      </w:r>
      <w:r w:rsidRPr="000A7F8D">
        <w:rPr>
          <w:rFonts w:ascii="Calibri" w:hAnsi="Calibri" w:cs="Calibri"/>
          <w:lang w:val="en-US"/>
        </w:rPr>
        <w:t xml:space="preserve"> </w:t>
      </w:r>
      <w:r w:rsidRPr="000A7F8D">
        <w:rPr>
          <w:rFonts w:ascii="Calibri" w:hAnsi="Calibri" w:cs="Calibri"/>
          <w:lang w:val="lt-LT"/>
        </w:rPr>
        <w:t>content and</w:t>
      </w:r>
      <w:r w:rsidRPr="000A7F8D">
        <w:rPr>
          <w:rFonts w:ascii="Calibri" w:hAnsi="Calibri" w:cs="Calibri"/>
          <w:lang w:val="en-US"/>
        </w:rPr>
        <w:t xml:space="preserve"> </w:t>
      </w:r>
      <w:r w:rsidRPr="000A7F8D">
        <w:rPr>
          <w:rFonts w:ascii="Calibri" w:hAnsi="Calibri" w:cs="Calibri"/>
          <w:lang w:val="lt-LT"/>
        </w:rPr>
        <w:t>structure +</w:t>
      </w:r>
      <w:r w:rsidRPr="000A7F8D">
        <w:rPr>
          <w:rFonts w:ascii="Calibri" w:hAnsi="Calibri" w:cs="Calibri"/>
          <w:lang w:val="en-US"/>
        </w:rPr>
        <w:t xml:space="preserve"> </w:t>
      </w:r>
      <w:r w:rsidRPr="000A7F8D">
        <w:rPr>
          <w:rFonts w:ascii="Calibri" w:hAnsi="Calibri" w:cs="Calibri"/>
          <w:lang w:val="lt-LT"/>
        </w:rPr>
        <w:t>balanced ECTS</w:t>
      </w:r>
      <w:r w:rsidRPr="000A7F8D">
        <w:rPr>
          <w:rFonts w:ascii="Calibri" w:hAnsi="Calibri" w:cs="Calibri"/>
          <w:lang w:val="en-US"/>
        </w:rPr>
        <w:t xml:space="preserve"> </w:t>
      </w:r>
      <w:r w:rsidRPr="000A7F8D">
        <w:rPr>
          <w:rFonts w:ascii="Calibri" w:hAnsi="Calibri" w:cs="Calibri"/>
          <w:lang w:val="lt-LT"/>
        </w:rPr>
        <w:t>credit allocation</w:t>
      </w:r>
    </w:p>
    <w:p w:rsidR="00FC1620" w:rsidRPr="000A7F8D" w:rsidRDefault="00FC1620" w:rsidP="00FC1620">
      <w:pPr>
        <w:numPr>
          <w:ilvl w:val="0"/>
          <w:numId w:val="3"/>
        </w:numPr>
        <w:spacing w:before="0"/>
        <w:rPr>
          <w:rFonts w:ascii="Calibri" w:hAnsi="Calibri" w:cs="Calibri"/>
          <w:lang w:val="lt-LT"/>
        </w:rPr>
      </w:pPr>
      <w:r w:rsidRPr="000A7F8D">
        <w:rPr>
          <w:rFonts w:ascii="Calibri" w:hAnsi="Calibri" w:cs="Calibri"/>
          <w:lang w:val="lt-LT"/>
        </w:rPr>
        <w:t>Selection of types of</w:t>
      </w:r>
      <w:r w:rsidRPr="000A7F8D">
        <w:rPr>
          <w:rFonts w:ascii="Calibri" w:hAnsi="Calibri" w:cs="Calibri"/>
          <w:lang w:val="en-US"/>
        </w:rPr>
        <w:t xml:space="preserve"> </w:t>
      </w:r>
      <w:r w:rsidRPr="000A7F8D">
        <w:rPr>
          <w:rFonts w:ascii="Calibri" w:hAnsi="Calibri" w:cs="Calibri"/>
          <w:lang w:val="lt-LT"/>
        </w:rPr>
        <w:t>assessment</w:t>
      </w:r>
    </w:p>
    <w:p w:rsidR="00FC1620" w:rsidRPr="000A7F8D" w:rsidRDefault="00FC1620" w:rsidP="00FC1620">
      <w:pPr>
        <w:numPr>
          <w:ilvl w:val="0"/>
          <w:numId w:val="3"/>
        </w:numPr>
        <w:spacing w:before="0"/>
        <w:rPr>
          <w:rFonts w:ascii="Calibri" w:hAnsi="Calibri" w:cs="Calibri"/>
          <w:lang w:val="lt-LT"/>
        </w:rPr>
      </w:pPr>
      <w:r w:rsidRPr="000A7F8D">
        <w:rPr>
          <w:rFonts w:ascii="Calibri" w:hAnsi="Calibri" w:cs="Calibri"/>
          <w:lang w:val="lt-LT"/>
        </w:rPr>
        <w:t>Selection of teaching and</w:t>
      </w:r>
      <w:r w:rsidRPr="000A7F8D">
        <w:rPr>
          <w:rFonts w:ascii="Calibri" w:hAnsi="Calibri" w:cs="Calibri"/>
          <w:lang w:val="en-US"/>
        </w:rPr>
        <w:t xml:space="preserve"> </w:t>
      </w:r>
      <w:r w:rsidRPr="000A7F8D">
        <w:rPr>
          <w:rFonts w:ascii="Calibri" w:hAnsi="Calibri" w:cs="Calibri"/>
          <w:lang w:val="lt-LT"/>
        </w:rPr>
        <w:t>learning approaches</w:t>
      </w:r>
    </w:p>
    <w:p w:rsidR="00FC1620" w:rsidRPr="000A7F8D" w:rsidRDefault="00FC1620" w:rsidP="00FC1620">
      <w:pPr>
        <w:numPr>
          <w:ilvl w:val="0"/>
          <w:numId w:val="3"/>
        </w:numPr>
        <w:spacing w:before="0"/>
        <w:rPr>
          <w:rFonts w:ascii="Calibri" w:hAnsi="Calibri" w:cs="Calibri"/>
          <w:lang w:val="lt-LT"/>
        </w:rPr>
      </w:pPr>
      <w:r w:rsidRPr="000A7F8D">
        <w:rPr>
          <w:rFonts w:ascii="Calibri" w:hAnsi="Calibri" w:cs="Calibri"/>
          <w:lang w:val="lt-LT"/>
        </w:rPr>
        <w:t>Evaluation and</w:t>
      </w:r>
      <w:r w:rsidRPr="000A7F8D">
        <w:rPr>
          <w:rFonts w:ascii="Calibri" w:hAnsi="Calibri" w:cs="Calibri"/>
          <w:lang w:val="en-US"/>
        </w:rPr>
        <w:t xml:space="preserve"> </w:t>
      </w:r>
      <w:r w:rsidRPr="000A7F8D">
        <w:rPr>
          <w:rFonts w:ascii="Calibri" w:hAnsi="Calibri" w:cs="Calibri"/>
          <w:lang w:val="lt-LT"/>
        </w:rPr>
        <w:t>improvement</w:t>
      </w:r>
      <w:r w:rsidRPr="000A7F8D">
        <w:rPr>
          <w:rFonts w:ascii="Calibri" w:hAnsi="Calibri" w:cs="Calibri"/>
          <w:lang w:val="en-US"/>
        </w:rPr>
        <w:t xml:space="preserve"> </w:t>
      </w:r>
      <w:r w:rsidRPr="000A7F8D">
        <w:rPr>
          <w:rFonts w:ascii="Calibri" w:hAnsi="Calibri" w:cs="Calibri"/>
          <w:lang w:val="lt-LT"/>
        </w:rPr>
        <w:t>(on the basis of</w:t>
      </w:r>
      <w:r w:rsidRPr="000A7F8D">
        <w:rPr>
          <w:rFonts w:ascii="Calibri" w:hAnsi="Calibri" w:cs="Calibri"/>
          <w:lang w:val="en-US"/>
        </w:rPr>
        <w:t xml:space="preserve"> </w:t>
      </w:r>
      <w:r w:rsidRPr="000A7F8D">
        <w:rPr>
          <w:rFonts w:ascii="Calibri" w:hAnsi="Calibri" w:cs="Calibri"/>
          <w:lang w:val="lt-LT"/>
        </w:rPr>
        <w:t>feedback and</w:t>
      </w:r>
      <w:r w:rsidRPr="000A7F8D">
        <w:rPr>
          <w:rFonts w:ascii="Calibri" w:hAnsi="Calibri" w:cs="Calibri"/>
          <w:lang w:val="en-US"/>
        </w:rPr>
        <w:t xml:space="preserve"> </w:t>
      </w:r>
      <w:r w:rsidRPr="000A7F8D">
        <w:rPr>
          <w:rFonts w:ascii="Calibri" w:hAnsi="Calibri" w:cs="Calibri"/>
          <w:lang w:val="lt-LT"/>
        </w:rPr>
        <w:t>feed-forward)</w:t>
      </w:r>
    </w:p>
    <w:p w:rsidR="00FC1620" w:rsidRPr="000A7F8D" w:rsidRDefault="00FC1620" w:rsidP="00FC1620">
      <w:pPr>
        <w:rPr>
          <w:rFonts w:ascii="Calibri" w:hAnsi="Calibri" w:cs="Calibri"/>
        </w:rPr>
      </w:pPr>
    </w:p>
    <w:p w:rsidR="00FC1620" w:rsidRPr="000A7F8D" w:rsidRDefault="00FC1620" w:rsidP="00FC1620">
      <w:pPr>
        <w:rPr>
          <w:rFonts w:ascii="Calibri" w:hAnsi="Calibri" w:cs="Calibri"/>
        </w:rPr>
      </w:pPr>
    </w:p>
    <w:p w:rsidR="00FC1620" w:rsidRPr="000A7F8D" w:rsidRDefault="00FC1620" w:rsidP="00FC1620">
      <w:pPr>
        <w:rPr>
          <w:rFonts w:ascii="Calibri" w:hAnsi="Calibri" w:cs="Calibri"/>
        </w:rPr>
      </w:pPr>
    </w:p>
    <w:p w:rsidR="00FC1620" w:rsidRPr="000A7F8D" w:rsidRDefault="00FC1620" w:rsidP="00FC1620">
      <w:pPr>
        <w:rPr>
          <w:rFonts w:ascii="Calibri" w:hAnsi="Calibri" w:cs="Calibri"/>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margin">
                  <wp:posOffset>36195</wp:posOffset>
                </wp:positionH>
                <wp:positionV relativeFrom="paragraph">
                  <wp:posOffset>-482600</wp:posOffset>
                </wp:positionV>
                <wp:extent cx="6223000" cy="1337945"/>
                <wp:effectExtent l="12700" t="13335" r="1270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1337945"/>
                        </a:xfrm>
                        <a:prstGeom prst="rect">
                          <a:avLst/>
                        </a:prstGeom>
                        <a:solidFill>
                          <a:srgbClr val="DBE5F1"/>
                        </a:solidFill>
                        <a:ln w="12700" algn="ctr">
                          <a:solidFill>
                            <a:srgbClr val="4F81BD"/>
                          </a:solidFill>
                          <a:miter lim="800000"/>
                          <a:headEnd/>
                          <a:tailEnd/>
                        </a:ln>
                      </wps:spPr>
                      <wps:txbx>
                        <w:txbxContent>
                          <w:p w:rsidR="00FC1620" w:rsidRPr="000A7F8D" w:rsidRDefault="00FC1620" w:rsidP="00FC1620">
                            <w:pPr>
                              <w:rPr>
                                <w:rFonts w:ascii="Calibri" w:hAnsi="Calibri" w:cs="Calibri"/>
                              </w:rPr>
                            </w:pPr>
                            <w:r>
                              <w:rPr>
                                <w:rFonts w:ascii="Calibri" w:hAnsi="Calibri" w:cs="Calibri"/>
                                <w:b/>
                                <w:bCs/>
                                <w:color w:val="000000"/>
                                <w:kern w:val="24"/>
                                <w:lang w:val="en-US"/>
                              </w:rPr>
                              <w:t>A student-</w:t>
                            </w:r>
                            <w:proofErr w:type="spellStart"/>
                            <w:r>
                              <w:rPr>
                                <w:rFonts w:ascii="Calibri" w:hAnsi="Calibri" w:cs="Calibri"/>
                                <w:b/>
                                <w:bCs/>
                                <w:color w:val="000000"/>
                                <w:kern w:val="24"/>
                                <w:lang w:val="en-US"/>
                              </w:rPr>
                              <w:t>centred</w:t>
                            </w:r>
                            <w:proofErr w:type="spellEnd"/>
                            <w:r>
                              <w:rPr>
                                <w:rFonts w:ascii="Calibri" w:hAnsi="Calibri" w:cs="Calibri"/>
                                <w:b/>
                                <w:bCs/>
                                <w:color w:val="000000"/>
                                <w:kern w:val="24"/>
                                <w:lang w:val="en-US"/>
                              </w:rPr>
                              <w:t xml:space="preserve"> approach</w:t>
                            </w:r>
                            <w:r w:rsidRPr="000A7F8D">
                              <w:rPr>
                                <w:rFonts w:ascii="Calibri" w:hAnsi="Calibri" w:cs="Calibri"/>
                                <w:b/>
                                <w:bCs/>
                                <w:color w:val="000000"/>
                                <w:kern w:val="24"/>
                                <w:lang w:val="en-US"/>
                              </w:rPr>
                              <w:t>:</w:t>
                            </w:r>
                          </w:p>
                          <w:p w:rsidR="00FC1620" w:rsidRPr="000A7F8D" w:rsidRDefault="00FC1620" w:rsidP="00FC1620">
                            <w:pPr>
                              <w:rPr>
                                <w:rFonts w:ascii="Calibri" w:hAnsi="Calibri" w:cs="Calibri"/>
                              </w:rPr>
                            </w:pPr>
                            <w:r w:rsidRPr="000A7F8D">
                              <w:rPr>
                                <w:rFonts w:ascii="Calibri" w:hAnsi="Calibri" w:cs="Calibri"/>
                                <w:color w:val="000000"/>
                                <w:kern w:val="24"/>
                                <w:lang w:val="en-US"/>
                              </w:rPr>
                              <w:t xml:space="preserve">- encourages thought about the types of student for whom a </w:t>
                            </w:r>
                            <w:proofErr w:type="spellStart"/>
                            <w:r w:rsidRPr="000A7F8D">
                              <w:rPr>
                                <w:rFonts w:ascii="Calibri" w:hAnsi="Calibri" w:cs="Calibri"/>
                                <w:color w:val="000000"/>
                                <w:kern w:val="24"/>
                                <w:lang w:val="en-US"/>
                              </w:rPr>
                              <w:t>programme</w:t>
                            </w:r>
                            <w:proofErr w:type="spellEnd"/>
                            <w:r w:rsidRPr="000A7F8D">
                              <w:rPr>
                                <w:rFonts w:ascii="Calibri" w:hAnsi="Calibri" w:cs="Calibri"/>
                                <w:color w:val="000000"/>
                                <w:kern w:val="24"/>
                                <w:lang w:val="en-US"/>
                              </w:rPr>
                              <w:t xml:space="preserve"> is being designed</w:t>
                            </w:r>
                          </w:p>
                          <w:p w:rsidR="00FC1620" w:rsidRPr="000A7F8D" w:rsidRDefault="00FC1620" w:rsidP="00FC1620">
                            <w:pPr>
                              <w:rPr>
                                <w:rFonts w:ascii="Calibri" w:hAnsi="Calibri" w:cs="Calibri"/>
                              </w:rPr>
                            </w:pPr>
                            <w:r w:rsidRPr="000A7F8D">
                              <w:rPr>
                                <w:rFonts w:ascii="Calibri" w:hAnsi="Calibri" w:cs="Calibri"/>
                                <w:color w:val="000000"/>
                                <w:kern w:val="24"/>
                                <w:lang w:val="en-US"/>
                              </w:rPr>
                              <w:t>- reminds designers of possible resource requirements for different students</w:t>
                            </w:r>
                          </w:p>
                          <w:p w:rsidR="00FC1620" w:rsidRPr="000A7F8D" w:rsidRDefault="00FC1620" w:rsidP="00FC1620">
                            <w:pPr>
                              <w:rPr>
                                <w:rFonts w:ascii="Calibri" w:hAnsi="Calibri" w:cs="Calibri"/>
                                <w:color w:val="000000"/>
                                <w:kern w:val="24"/>
                                <w:lang w:val="en-US"/>
                              </w:rPr>
                            </w:pPr>
                            <w:r w:rsidRPr="000A7F8D">
                              <w:rPr>
                                <w:rFonts w:ascii="Calibri" w:hAnsi="Calibri" w:cs="Calibri"/>
                                <w:color w:val="000000"/>
                                <w:kern w:val="24"/>
                                <w:lang w:val="en-US"/>
                              </w:rPr>
                              <w:t>- focuses attention on the competences to be acquired by students</w:t>
                            </w:r>
                          </w:p>
                          <w:p w:rsidR="00FC1620" w:rsidRPr="000A7F8D" w:rsidRDefault="00FC1620" w:rsidP="00FC1620">
                            <w:pPr>
                              <w:rPr>
                                <w:rFonts w:ascii="Calibri" w:hAnsi="Calibri" w:cs="Calibri"/>
                              </w:rPr>
                            </w:pPr>
                            <w:r w:rsidRPr="000A7F8D">
                              <w:rPr>
                                <w:rFonts w:ascii="Calibri" w:hAnsi="Calibri" w:cs="Calibri"/>
                                <w:color w:val="000000"/>
                                <w:kern w:val="24"/>
                                <w:lang w:val="en-US"/>
                              </w:rPr>
                              <w:t xml:space="preserve">- includes student representative(s) in a designing or improvement of study </w:t>
                            </w:r>
                            <w:proofErr w:type="spellStart"/>
                            <w:r w:rsidRPr="000A7F8D">
                              <w:rPr>
                                <w:rFonts w:ascii="Calibri" w:hAnsi="Calibri" w:cs="Calibri"/>
                                <w:color w:val="000000"/>
                                <w:kern w:val="24"/>
                                <w:lang w:val="en-US"/>
                              </w:rPr>
                              <w:t>programme</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8" style="position:absolute;left:0;text-align:left;margin-left:2.85pt;margin-top:-38pt;width:490pt;height:10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" fillcolor="#dbe5f1" strokecolor="#4f81bd" strokeweight="1pt">
                <v:textbox style="mso-fit-shape-to-text:t">
                  <w:txbxContent>
                    <w:p w:rsidR="00FC1620" w:rsidRPr="000A7F8D" w:rsidRDefault="00FC1620" w:rsidP="00FC1620">
                      <w:pPr>
                        <w:rPr>
                          <w:rFonts w:ascii="Calibri" w:hAnsi="Calibri" w:cs="Calibri"/>
                        </w:rPr>
                      </w:pPr>
                      <w:r>
                        <w:rPr>
                          <w:rFonts w:ascii="Calibri" w:hAnsi="Calibri" w:cs="Calibri"/>
                          <w:b/>
                          <w:bCs/>
                          <w:color w:val="000000"/>
                          <w:kern w:val="24"/>
                          <w:lang w:val="en-US"/>
                        </w:rPr>
                        <w:t>A student-</w:t>
                      </w:r>
                      <w:proofErr w:type="spellStart"/>
                      <w:r>
                        <w:rPr>
                          <w:rFonts w:ascii="Calibri" w:hAnsi="Calibri" w:cs="Calibri"/>
                          <w:b/>
                          <w:bCs/>
                          <w:color w:val="000000"/>
                          <w:kern w:val="24"/>
                          <w:lang w:val="en-US"/>
                        </w:rPr>
                        <w:t>centred</w:t>
                      </w:r>
                      <w:proofErr w:type="spellEnd"/>
                      <w:r>
                        <w:rPr>
                          <w:rFonts w:ascii="Calibri" w:hAnsi="Calibri" w:cs="Calibri"/>
                          <w:b/>
                          <w:bCs/>
                          <w:color w:val="000000"/>
                          <w:kern w:val="24"/>
                          <w:lang w:val="en-US"/>
                        </w:rPr>
                        <w:t xml:space="preserve"> approach</w:t>
                      </w:r>
                      <w:r w:rsidRPr="000A7F8D">
                        <w:rPr>
                          <w:rFonts w:ascii="Calibri" w:hAnsi="Calibri" w:cs="Calibri"/>
                          <w:b/>
                          <w:bCs/>
                          <w:color w:val="000000"/>
                          <w:kern w:val="24"/>
                          <w:lang w:val="en-US"/>
                        </w:rPr>
                        <w:t>:</w:t>
                      </w:r>
                    </w:p>
                    <w:p w:rsidR="00FC1620" w:rsidRPr="000A7F8D" w:rsidRDefault="00FC1620" w:rsidP="00FC1620">
                      <w:pPr>
                        <w:rPr>
                          <w:rFonts w:ascii="Calibri" w:hAnsi="Calibri" w:cs="Calibri"/>
                        </w:rPr>
                      </w:pPr>
                      <w:r w:rsidRPr="000A7F8D">
                        <w:rPr>
                          <w:rFonts w:ascii="Calibri" w:hAnsi="Calibri" w:cs="Calibri"/>
                          <w:color w:val="000000"/>
                          <w:kern w:val="24"/>
                          <w:lang w:val="en-US"/>
                        </w:rPr>
                        <w:t xml:space="preserve">- encourages thought about the types of student for whom a </w:t>
                      </w:r>
                      <w:proofErr w:type="spellStart"/>
                      <w:r w:rsidRPr="000A7F8D">
                        <w:rPr>
                          <w:rFonts w:ascii="Calibri" w:hAnsi="Calibri" w:cs="Calibri"/>
                          <w:color w:val="000000"/>
                          <w:kern w:val="24"/>
                          <w:lang w:val="en-US"/>
                        </w:rPr>
                        <w:t>programme</w:t>
                      </w:r>
                      <w:proofErr w:type="spellEnd"/>
                      <w:r w:rsidRPr="000A7F8D">
                        <w:rPr>
                          <w:rFonts w:ascii="Calibri" w:hAnsi="Calibri" w:cs="Calibri"/>
                          <w:color w:val="000000"/>
                          <w:kern w:val="24"/>
                          <w:lang w:val="en-US"/>
                        </w:rPr>
                        <w:t xml:space="preserve"> is being designed</w:t>
                      </w:r>
                    </w:p>
                    <w:p w:rsidR="00FC1620" w:rsidRPr="000A7F8D" w:rsidRDefault="00FC1620" w:rsidP="00FC1620">
                      <w:pPr>
                        <w:rPr>
                          <w:rFonts w:ascii="Calibri" w:hAnsi="Calibri" w:cs="Calibri"/>
                        </w:rPr>
                      </w:pPr>
                      <w:r w:rsidRPr="000A7F8D">
                        <w:rPr>
                          <w:rFonts w:ascii="Calibri" w:hAnsi="Calibri" w:cs="Calibri"/>
                          <w:color w:val="000000"/>
                          <w:kern w:val="24"/>
                          <w:lang w:val="en-US"/>
                        </w:rPr>
                        <w:t>- reminds designers of possible resource requirements for different students</w:t>
                      </w:r>
                    </w:p>
                    <w:p w:rsidR="00FC1620" w:rsidRPr="000A7F8D" w:rsidRDefault="00FC1620" w:rsidP="00FC1620">
                      <w:pPr>
                        <w:rPr>
                          <w:rFonts w:ascii="Calibri" w:hAnsi="Calibri" w:cs="Calibri"/>
                          <w:color w:val="000000"/>
                          <w:kern w:val="24"/>
                          <w:lang w:val="en-US"/>
                        </w:rPr>
                      </w:pPr>
                      <w:r w:rsidRPr="000A7F8D">
                        <w:rPr>
                          <w:rFonts w:ascii="Calibri" w:hAnsi="Calibri" w:cs="Calibri"/>
                          <w:color w:val="000000"/>
                          <w:kern w:val="24"/>
                          <w:lang w:val="en-US"/>
                        </w:rPr>
                        <w:t>- focuses attention on the competences to be acquired by students</w:t>
                      </w:r>
                    </w:p>
                    <w:p w:rsidR="00FC1620" w:rsidRPr="000A7F8D" w:rsidRDefault="00FC1620" w:rsidP="00FC1620">
                      <w:pPr>
                        <w:rPr>
                          <w:rFonts w:ascii="Calibri" w:hAnsi="Calibri" w:cs="Calibri"/>
                        </w:rPr>
                      </w:pPr>
                      <w:r w:rsidRPr="000A7F8D">
                        <w:rPr>
                          <w:rFonts w:ascii="Calibri" w:hAnsi="Calibri" w:cs="Calibri"/>
                          <w:color w:val="000000"/>
                          <w:kern w:val="24"/>
                          <w:lang w:val="en-US"/>
                        </w:rPr>
                        <w:t xml:space="preserve">- includes student representative(s) in a designing or improvement of study </w:t>
                      </w:r>
                      <w:proofErr w:type="spellStart"/>
                      <w:r w:rsidRPr="000A7F8D">
                        <w:rPr>
                          <w:rFonts w:ascii="Calibri" w:hAnsi="Calibri" w:cs="Calibri"/>
                          <w:color w:val="000000"/>
                          <w:kern w:val="24"/>
                          <w:lang w:val="en-US"/>
                        </w:rPr>
                        <w:t>programme</w:t>
                      </w:r>
                      <w:proofErr w:type="spellEnd"/>
                    </w:p>
                  </w:txbxContent>
                </v:textbox>
                <w10:wrap anchorx="margin"/>
              </v:rect>
            </w:pict>
          </mc:Fallback>
        </mc:AlternateContent>
      </w:r>
    </w:p>
    <w:p w:rsidR="00FC1620" w:rsidRPr="000A7F8D" w:rsidRDefault="00FC1620" w:rsidP="00FC1620">
      <w:pPr>
        <w:rPr>
          <w:rFonts w:ascii="Calibri" w:hAnsi="Calibri" w:cs="Calibri"/>
        </w:rPr>
      </w:pPr>
    </w:p>
    <w:p w:rsidR="00FC1620" w:rsidRPr="000A7F8D" w:rsidRDefault="00FC1620" w:rsidP="00FC1620">
      <w:pPr>
        <w:rPr>
          <w:rFonts w:ascii="Calibri" w:hAnsi="Calibri" w:cs="Calibri"/>
        </w:rPr>
      </w:pPr>
    </w:p>
    <w:p w:rsidR="00FC1620" w:rsidRPr="000A7F8D" w:rsidRDefault="00FC1620" w:rsidP="00FC1620">
      <w:pPr>
        <w:rPr>
          <w:rStyle w:val="a5"/>
          <w:rFonts w:ascii="Calibri" w:eastAsia="Calibri" w:hAnsi="Calibri" w:cs="Times New Roman"/>
          <w:sz w:val="16"/>
          <w:szCs w:val="16"/>
          <w:lang w:val="fr-FR"/>
        </w:rPr>
      </w:pPr>
    </w:p>
    <w:p w:rsidR="00FC1620" w:rsidRPr="000A7F8D" w:rsidRDefault="00FC1620" w:rsidP="00FC1620">
      <w:pPr>
        <w:spacing w:before="0"/>
        <w:rPr>
          <w:rFonts w:ascii="Calibri" w:hAnsi="Calibri" w:cs="Calibri"/>
        </w:rPr>
      </w:pPr>
      <w:r w:rsidRPr="000A7F8D">
        <w:rPr>
          <w:rFonts w:ascii="Calibri" w:hAnsi="Calibri" w:cs="Calibri"/>
        </w:rPr>
        <w:t xml:space="preserve">The process for designing a student-centred study programme is based on identifying </w:t>
      </w:r>
      <w:proofErr w:type="gramStart"/>
      <w:r w:rsidRPr="000A7F8D">
        <w:rPr>
          <w:rFonts w:ascii="Calibri" w:hAnsi="Calibri" w:cs="Calibri"/>
        </w:rPr>
        <w:t>the  main</w:t>
      </w:r>
      <w:proofErr w:type="gramEnd"/>
      <w:r w:rsidRPr="000A7F8D">
        <w:rPr>
          <w:rFonts w:ascii="Calibri" w:hAnsi="Calibri" w:cs="Calibri"/>
        </w:rPr>
        <w:t xml:space="preserve"> competences that the learner should have at the end of the learning process (a course or a programme): competences should be aligned with the market needs, using some pedagogical methods and tools in which learner (student) has an active position (in order to develop skills and attitudes and not only knowledge)  and using appropriate  assessment methods that are adapted to the learning process. The </w:t>
      </w:r>
      <w:r w:rsidRPr="000A7F8D">
        <w:rPr>
          <w:rFonts w:ascii="Calibri" w:hAnsi="Calibri" w:cs="Calibri"/>
        </w:rPr>
        <w:lastRenderedPageBreak/>
        <w:t xml:space="preserve">process may be different depending on whether we are creating a new programme or adapting an existing programme. On both case, the process should be </w:t>
      </w:r>
      <w:proofErr w:type="spellStart"/>
      <w:r w:rsidRPr="000A7F8D">
        <w:rPr>
          <w:rFonts w:ascii="Calibri" w:hAnsi="Calibri" w:cs="Calibri"/>
        </w:rPr>
        <w:t>taylored</w:t>
      </w:r>
      <w:proofErr w:type="spellEnd"/>
      <w:r w:rsidRPr="000A7F8D">
        <w:rPr>
          <w:rFonts w:ascii="Calibri" w:hAnsi="Calibri" w:cs="Calibri"/>
        </w:rPr>
        <w:t xml:space="preserve"> as a process of continuous improvement:</w:t>
      </w:r>
    </w:p>
    <w:p w:rsidR="00FC1620" w:rsidRPr="000A7F8D" w:rsidRDefault="00FC1620" w:rsidP="00FC1620">
      <w:pPr>
        <w:rPr>
          <w:rFonts w:ascii="Calibri" w:hAnsi="Calibri" w:cs="Calibri"/>
        </w:rPr>
      </w:pPr>
    </w:p>
    <w:p w:rsidR="00FC1620" w:rsidRPr="000A7F8D" w:rsidRDefault="00FC1620" w:rsidP="00FC1620">
      <w:pPr>
        <w:spacing w:before="0"/>
        <w:rPr>
          <w:rFonts w:ascii="Calibri" w:hAnsi="Calibri" w:cs="Calibri"/>
        </w:rPr>
      </w:pPr>
      <w:r w:rsidRPr="000A7F8D">
        <w:rPr>
          <w:rFonts w:ascii="Calibri" w:hAnsi="Calibri" w:cs="Calibri"/>
          <w:noProof/>
          <w:lang w:val="ru-RU" w:eastAsia="ru-RU"/>
        </w:rPr>
        <w:drawing>
          <wp:inline distT="0" distB="0" distL="0" distR="0">
            <wp:extent cx="5305425" cy="3228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5425" cy="3228975"/>
                    </a:xfrm>
                    <a:prstGeom prst="rect">
                      <a:avLst/>
                    </a:prstGeom>
                    <a:noFill/>
                    <a:ln>
                      <a:noFill/>
                    </a:ln>
                  </pic:spPr>
                </pic:pic>
              </a:graphicData>
            </a:graphic>
          </wp:inline>
        </w:drawing>
      </w:r>
    </w:p>
    <w:p w:rsidR="00FC1620" w:rsidRPr="004752B0" w:rsidRDefault="00FC1620" w:rsidP="00FC1620">
      <w:pPr>
        <w:spacing w:before="0"/>
        <w:rPr>
          <w:rFonts w:ascii="Calibri" w:hAnsi="Calibri" w:cs="Calibri"/>
          <w:i/>
          <w:iCs/>
          <w:sz w:val="16"/>
          <w:szCs w:val="16"/>
        </w:rPr>
      </w:pPr>
      <w:r w:rsidRPr="004752B0">
        <w:rPr>
          <w:rFonts w:ascii="Calibri" w:hAnsi="Calibri" w:cs="Calibri"/>
          <w:i/>
          <w:iCs/>
          <w:sz w:val="16"/>
          <w:szCs w:val="16"/>
        </w:rPr>
        <w:t>See more at: “Guideline for self-assessing the competence-</w:t>
      </w:r>
      <w:proofErr w:type="spellStart"/>
      <w:r w:rsidRPr="004752B0">
        <w:rPr>
          <w:rFonts w:ascii="Calibri" w:hAnsi="Calibri" w:cs="Calibri"/>
          <w:i/>
          <w:iCs/>
          <w:sz w:val="16"/>
          <w:szCs w:val="16"/>
        </w:rPr>
        <w:t>orientedness</w:t>
      </w:r>
      <w:proofErr w:type="spellEnd"/>
      <w:r w:rsidRPr="004752B0">
        <w:rPr>
          <w:rFonts w:ascii="Calibri" w:hAnsi="Calibri" w:cs="Calibri"/>
          <w:i/>
          <w:iCs/>
          <w:sz w:val="16"/>
          <w:szCs w:val="16"/>
        </w:rPr>
        <w:t xml:space="preserve"> and student-centeredness of a study programme”, prepared during the previous mission</w:t>
      </w:r>
    </w:p>
    <w:p w:rsidR="00FC1620" w:rsidRPr="000A7F8D" w:rsidRDefault="00FC1620" w:rsidP="00FC1620">
      <w:pPr>
        <w:spacing w:before="0"/>
        <w:jc w:val="left"/>
        <w:rPr>
          <w:rFonts w:ascii="Calibri" w:hAnsi="Calibri" w:cs="Calibri"/>
          <w:highlight w:val="yellow"/>
        </w:rPr>
      </w:pPr>
    </w:p>
    <w:p w:rsidR="00FC1620" w:rsidRPr="000A7F8D" w:rsidRDefault="00FC1620" w:rsidP="00FC1620">
      <w:pPr>
        <w:pStyle w:val="a3"/>
        <w:numPr>
          <w:ilvl w:val="0"/>
          <w:numId w:val="2"/>
        </w:numPr>
        <w:spacing w:before="0"/>
        <w:ind w:left="284" w:hanging="284"/>
        <w:jc w:val="left"/>
        <w:rPr>
          <w:rFonts w:ascii="Calibri" w:hAnsi="Calibri" w:cs="Calibri"/>
          <w:b/>
        </w:rPr>
      </w:pPr>
      <w:r w:rsidRPr="000A7F8D">
        <w:rPr>
          <w:rFonts w:ascii="Calibri" w:hAnsi="Calibri" w:cs="Calibri"/>
          <w:b/>
        </w:rPr>
        <w:t>The quality of the student-centred study programme</w:t>
      </w:r>
    </w:p>
    <w:p w:rsidR="00FC1620" w:rsidRPr="000A7F8D" w:rsidRDefault="00FC1620" w:rsidP="00FC1620">
      <w:pPr>
        <w:spacing w:before="0"/>
        <w:rPr>
          <w:rFonts w:ascii="Calibri" w:hAnsi="Calibri" w:cs="Calibri"/>
        </w:rPr>
      </w:pPr>
    </w:p>
    <w:p w:rsidR="00FC1620" w:rsidRPr="000A7F8D" w:rsidRDefault="00FC1620" w:rsidP="00FC1620">
      <w:pPr>
        <w:spacing w:before="0"/>
        <w:rPr>
          <w:rFonts w:ascii="Calibri" w:hAnsi="Calibri" w:cs="Calibri"/>
          <w:b/>
        </w:rPr>
      </w:pPr>
      <w:r w:rsidRPr="000A7F8D">
        <w:rPr>
          <w:rFonts w:ascii="Calibri" w:hAnsi="Calibri" w:cs="Calibri"/>
          <w:b/>
        </w:rPr>
        <w:t>Study programme level</w:t>
      </w:r>
    </w:p>
    <w:p w:rsidR="00FC1620" w:rsidRPr="000A7F8D" w:rsidRDefault="00FC1620" w:rsidP="00FC1620">
      <w:pPr>
        <w:spacing w:before="0"/>
        <w:rPr>
          <w:rFonts w:ascii="Calibri" w:hAnsi="Calibri" w:cs="Calibri"/>
        </w:rPr>
      </w:pPr>
      <w:r w:rsidRPr="000A7F8D">
        <w:rPr>
          <w:rFonts w:ascii="Calibri" w:hAnsi="Calibri" w:cs="Calibri"/>
        </w:rPr>
        <w:t>The study programme is recognised to meet competences that are aligned with the job market needs. The competences are defined in connection with external stakeholders: companies, business associations, union trades, other social partners etc.</w:t>
      </w:r>
    </w:p>
    <w:p w:rsidR="00FC1620" w:rsidRPr="000A7F8D" w:rsidRDefault="00FC1620" w:rsidP="00FC1620">
      <w:pPr>
        <w:spacing w:before="0"/>
        <w:rPr>
          <w:rFonts w:ascii="Calibri" w:hAnsi="Calibri" w:cs="Calibri"/>
        </w:rPr>
      </w:pPr>
      <w:r w:rsidRPr="000A7F8D">
        <w:rPr>
          <w:rFonts w:ascii="Calibri" w:hAnsi="Calibri" w:cs="Calibri"/>
        </w:rPr>
        <w:t>The study programme clearly indicates what are the competences that the students should have at the end of the learning process and how those competences will be acquired.</w:t>
      </w:r>
    </w:p>
    <w:p w:rsidR="00FC1620" w:rsidRPr="000A7F8D" w:rsidRDefault="00FC1620" w:rsidP="00FC1620">
      <w:pPr>
        <w:spacing w:before="0"/>
        <w:rPr>
          <w:rFonts w:ascii="Calibri" w:hAnsi="Calibri" w:cs="Calibri"/>
          <w:lang w:val="en-US"/>
        </w:rPr>
      </w:pPr>
      <w:r w:rsidRPr="000A7F8D">
        <w:rPr>
          <w:rFonts w:ascii="Calibri" w:hAnsi="Calibri" w:cs="Calibri"/>
          <w:lang w:val="en-US"/>
        </w:rPr>
        <w:t xml:space="preserve">Study </w:t>
      </w:r>
      <w:proofErr w:type="spellStart"/>
      <w:r w:rsidRPr="000A7F8D">
        <w:rPr>
          <w:rFonts w:ascii="Calibri" w:hAnsi="Calibri" w:cs="Calibri"/>
          <w:lang w:val="en-US"/>
        </w:rPr>
        <w:t>Programme</w:t>
      </w:r>
      <w:proofErr w:type="spellEnd"/>
      <w:r w:rsidRPr="000A7F8D">
        <w:rPr>
          <w:rFonts w:ascii="Calibri" w:hAnsi="Calibri" w:cs="Calibri"/>
          <w:lang w:val="en-US"/>
        </w:rPr>
        <w:t xml:space="preserve"> Committee, which is responsible for designing of the student-</w:t>
      </w:r>
      <w:proofErr w:type="spellStart"/>
      <w:r w:rsidRPr="000A7F8D">
        <w:rPr>
          <w:rFonts w:ascii="Calibri" w:hAnsi="Calibri" w:cs="Calibri"/>
          <w:lang w:val="en-US"/>
        </w:rPr>
        <w:t>centred</w:t>
      </w:r>
      <w:proofErr w:type="spellEnd"/>
      <w:r w:rsidRPr="000A7F8D">
        <w:rPr>
          <w:rFonts w:ascii="Calibri" w:hAnsi="Calibri" w:cs="Calibri"/>
          <w:lang w:val="en-US"/>
        </w:rPr>
        <w:t xml:space="preserve"> </w:t>
      </w:r>
      <w:proofErr w:type="spellStart"/>
      <w:r w:rsidRPr="000A7F8D">
        <w:rPr>
          <w:rFonts w:ascii="Calibri" w:hAnsi="Calibri" w:cs="Calibri"/>
          <w:lang w:val="en-US"/>
        </w:rPr>
        <w:t>programme</w:t>
      </w:r>
      <w:proofErr w:type="spellEnd"/>
      <w:r w:rsidRPr="000A7F8D">
        <w:rPr>
          <w:rFonts w:ascii="Calibri" w:hAnsi="Calibri" w:cs="Calibri"/>
          <w:lang w:val="en-US"/>
        </w:rPr>
        <w:t xml:space="preserve"> shall consist of representatives of teachers, students and employers.</w:t>
      </w:r>
    </w:p>
    <w:p w:rsidR="00FC1620" w:rsidRPr="000A7F8D" w:rsidRDefault="00FC1620" w:rsidP="00FC1620">
      <w:pPr>
        <w:spacing w:before="0"/>
        <w:rPr>
          <w:rFonts w:ascii="Calibri" w:hAnsi="Calibri" w:cs="Calibri"/>
          <w:b/>
          <w:bCs/>
        </w:rPr>
      </w:pPr>
    </w:p>
    <w:p w:rsidR="00FC1620" w:rsidRPr="000A7F8D" w:rsidRDefault="00FC1620" w:rsidP="00FC1620">
      <w:pPr>
        <w:spacing w:before="0"/>
        <w:rPr>
          <w:rFonts w:ascii="Calibri" w:hAnsi="Calibri" w:cs="Calibri"/>
          <w:lang w:val="en-US"/>
        </w:rPr>
      </w:pPr>
      <w:r w:rsidRPr="000A7F8D">
        <w:rPr>
          <w:rFonts w:ascii="Calibri" w:hAnsi="Calibri" w:cs="Calibri"/>
          <w:lang w:val="en-US"/>
        </w:rPr>
        <w:t xml:space="preserve">Improvement and renewal of current study </w:t>
      </w:r>
      <w:proofErr w:type="spellStart"/>
      <w:r w:rsidRPr="000A7F8D">
        <w:rPr>
          <w:rFonts w:ascii="Calibri" w:hAnsi="Calibri" w:cs="Calibri"/>
          <w:lang w:val="en-US"/>
        </w:rPr>
        <w:t>programme</w:t>
      </w:r>
      <w:proofErr w:type="spellEnd"/>
      <w:r w:rsidRPr="000A7F8D">
        <w:rPr>
          <w:rFonts w:ascii="Calibri" w:hAnsi="Calibri" w:cs="Calibri"/>
          <w:lang w:val="en-US"/>
        </w:rPr>
        <w:t xml:space="preserve"> is usually performed by Study </w:t>
      </w:r>
      <w:proofErr w:type="spellStart"/>
      <w:r w:rsidRPr="000A7F8D">
        <w:rPr>
          <w:rFonts w:ascii="Calibri" w:hAnsi="Calibri" w:cs="Calibri"/>
          <w:lang w:val="en-US"/>
        </w:rPr>
        <w:t>Programme</w:t>
      </w:r>
      <w:proofErr w:type="spellEnd"/>
      <w:r w:rsidRPr="000A7F8D">
        <w:rPr>
          <w:rFonts w:ascii="Calibri" w:hAnsi="Calibri" w:cs="Calibri"/>
          <w:lang w:val="en-US"/>
        </w:rPr>
        <w:t xml:space="preserve"> Committees, departments which implement the </w:t>
      </w:r>
      <w:proofErr w:type="spellStart"/>
      <w:r w:rsidRPr="000A7F8D">
        <w:rPr>
          <w:rFonts w:ascii="Calibri" w:hAnsi="Calibri" w:cs="Calibri"/>
          <w:lang w:val="en-US"/>
        </w:rPr>
        <w:t>programme</w:t>
      </w:r>
      <w:proofErr w:type="spellEnd"/>
      <w:r w:rsidRPr="000A7F8D">
        <w:rPr>
          <w:rFonts w:ascii="Calibri" w:hAnsi="Calibri" w:cs="Calibri"/>
          <w:lang w:val="en-US"/>
        </w:rPr>
        <w:t xml:space="preserve"> and </w:t>
      </w:r>
      <w:proofErr w:type="spellStart"/>
      <w:r w:rsidRPr="000A7F8D">
        <w:rPr>
          <w:rFonts w:ascii="Calibri" w:hAnsi="Calibri" w:cs="Calibri"/>
          <w:lang w:val="en-US"/>
        </w:rPr>
        <w:t>programme</w:t>
      </w:r>
      <w:proofErr w:type="spellEnd"/>
      <w:r w:rsidRPr="000A7F8D">
        <w:rPr>
          <w:rFonts w:ascii="Calibri" w:hAnsi="Calibri" w:cs="Calibri"/>
          <w:lang w:val="en-US"/>
        </w:rPr>
        <w:t xml:space="preserve"> teachers, also may be initiated by the </w:t>
      </w:r>
      <w:r w:rsidRPr="000A7F8D">
        <w:rPr>
          <w:rFonts w:ascii="Calibri" w:hAnsi="Calibri" w:cs="Calibri"/>
          <w:b/>
          <w:bCs/>
          <w:lang w:val="en-US"/>
        </w:rPr>
        <w:t>students</w:t>
      </w:r>
      <w:r w:rsidRPr="000A7F8D">
        <w:rPr>
          <w:rFonts w:ascii="Calibri" w:hAnsi="Calibri" w:cs="Calibri"/>
          <w:lang w:val="en-US"/>
        </w:rPr>
        <w:t xml:space="preserve"> (presenting well-argued suggestions), University academic units, Faculty Councils, and social partners. </w:t>
      </w:r>
    </w:p>
    <w:p w:rsidR="00FC1620" w:rsidRPr="000A7F8D" w:rsidRDefault="00FC1620" w:rsidP="00FC1620">
      <w:pPr>
        <w:spacing w:before="0"/>
        <w:rPr>
          <w:rFonts w:ascii="Calibri" w:hAnsi="Calibri" w:cs="Calibri"/>
          <w:b/>
          <w:bCs/>
          <w:lang w:val="en-US"/>
        </w:rPr>
      </w:pPr>
    </w:p>
    <w:p w:rsidR="00FC1620" w:rsidRPr="000A7F8D" w:rsidRDefault="00FC1620" w:rsidP="00FC1620">
      <w:pPr>
        <w:spacing w:before="0"/>
        <w:rPr>
          <w:rFonts w:ascii="Calibri" w:hAnsi="Calibri" w:cs="Calibri"/>
          <w:b/>
          <w:bCs/>
          <w:lang w:val="en-US"/>
        </w:rPr>
      </w:pPr>
      <w:r w:rsidRPr="000A7F8D">
        <w:rPr>
          <w:rFonts w:ascii="Calibri" w:hAnsi="Calibri" w:cs="Calibri"/>
          <w:b/>
          <w:bCs/>
          <w:lang w:val="en-US"/>
        </w:rPr>
        <w:t>Course level</w:t>
      </w:r>
    </w:p>
    <w:p w:rsidR="00FC1620" w:rsidRPr="000A7F8D" w:rsidRDefault="00FC1620" w:rsidP="00FC1620">
      <w:pPr>
        <w:spacing w:before="0"/>
        <w:rPr>
          <w:rFonts w:ascii="Calibri" w:hAnsi="Calibri" w:cs="Calibri"/>
        </w:rPr>
      </w:pPr>
      <w:r w:rsidRPr="000A7F8D">
        <w:rPr>
          <w:rFonts w:ascii="Calibri" w:hAnsi="Calibri" w:cs="Calibri"/>
        </w:rPr>
        <w:t>The curriculum gives students a clear indication of what is expected of them in terms of learning outcomes, performance, conditions and standard. Also, if appropriate, workplace and off-the-job training and assessment responsibilities should be identified.</w:t>
      </w:r>
    </w:p>
    <w:p w:rsidR="00FC1620" w:rsidRPr="000A7F8D" w:rsidRDefault="00FC1620" w:rsidP="00FC1620">
      <w:pPr>
        <w:spacing w:before="0"/>
        <w:rPr>
          <w:rFonts w:ascii="Calibri" w:hAnsi="Calibri" w:cs="Calibri"/>
          <w:bCs/>
        </w:rPr>
      </w:pPr>
    </w:p>
    <w:p w:rsidR="00FC1620" w:rsidRPr="000A7F8D" w:rsidRDefault="00FC1620" w:rsidP="00FC1620">
      <w:pPr>
        <w:spacing w:before="0"/>
        <w:rPr>
          <w:rFonts w:ascii="Calibri" w:hAnsi="Calibri" w:cs="Calibri"/>
          <w:b/>
          <w:bCs/>
        </w:rPr>
      </w:pPr>
      <w:r w:rsidRPr="000A7F8D">
        <w:rPr>
          <w:rFonts w:ascii="Calibri" w:hAnsi="Calibri" w:cs="Calibri"/>
          <w:bCs/>
        </w:rPr>
        <w:t xml:space="preserve">Course delivery is flexible, and students can exercise initiative in the learning process. </w:t>
      </w:r>
      <w:r w:rsidRPr="000A7F8D">
        <w:rPr>
          <w:rFonts w:ascii="Calibri" w:hAnsi="Calibri" w:cs="Calibri"/>
        </w:rPr>
        <w:t xml:space="preserve">Student-teacher collaboration in teaching and learning should be encouraged and supported, as it creates, maintains and develops new and continuous learning experiences. The culture of cooperation </w:t>
      </w:r>
      <w:r w:rsidRPr="000A7F8D">
        <w:rPr>
          <w:rFonts w:ascii="Calibri" w:hAnsi="Calibri" w:cs="Calibri"/>
          <w:b/>
          <w:bCs/>
        </w:rPr>
        <w:t>requires both actors to prepare and engage.</w:t>
      </w:r>
    </w:p>
    <w:p w:rsidR="00FC1620" w:rsidRPr="000A7F8D" w:rsidRDefault="00FC1620" w:rsidP="00FC1620">
      <w:pPr>
        <w:spacing w:before="0"/>
        <w:rPr>
          <w:rFonts w:ascii="Calibri" w:hAnsi="Calibri" w:cs="Calibri"/>
        </w:rPr>
      </w:pPr>
    </w:p>
    <w:p w:rsidR="00FC1620" w:rsidRPr="000A7F8D" w:rsidRDefault="00FC1620" w:rsidP="00FC1620">
      <w:pPr>
        <w:spacing w:before="0"/>
        <w:rPr>
          <w:rFonts w:ascii="Calibri" w:hAnsi="Calibri" w:cs="Calibri"/>
        </w:rPr>
      </w:pPr>
      <w:r w:rsidRPr="000A7F8D">
        <w:rPr>
          <w:rFonts w:ascii="Calibri" w:hAnsi="Calibri" w:cs="Calibri"/>
        </w:rPr>
        <w:t xml:space="preserve">Assessment of student’ performance should be clear defined, presented and agreed with the students at the beginning of course. </w:t>
      </w:r>
    </w:p>
    <w:p w:rsidR="00FC1620" w:rsidRPr="000A7F8D" w:rsidRDefault="00FC1620" w:rsidP="00FC1620">
      <w:pPr>
        <w:spacing w:before="0"/>
        <w:rPr>
          <w:rFonts w:ascii="Calibri" w:hAnsi="Calibri" w:cs="Calibri"/>
          <w:sz w:val="20"/>
        </w:rPr>
      </w:pPr>
      <w:r w:rsidRPr="000A7F8D">
        <w:rPr>
          <w:rFonts w:ascii="Calibri" w:hAnsi="Calibri" w:cs="Calibri"/>
          <w:lang w:val="en-US"/>
        </w:rPr>
        <w:t>Systematic approach to the assessment of student achievements:</w:t>
      </w:r>
    </w:p>
    <w:p w:rsidR="00FC1620" w:rsidRPr="000A7F8D" w:rsidRDefault="00FC1620" w:rsidP="00FC1620">
      <w:pPr>
        <w:numPr>
          <w:ilvl w:val="0"/>
          <w:numId w:val="1"/>
        </w:numPr>
        <w:spacing w:before="0"/>
        <w:rPr>
          <w:rFonts w:ascii="Calibri" w:hAnsi="Calibri" w:cs="Calibri"/>
          <w:lang w:val="lt-LT"/>
        </w:rPr>
      </w:pPr>
      <w:r w:rsidRPr="000A7F8D">
        <w:rPr>
          <w:rFonts w:ascii="Calibri" w:hAnsi="Calibri" w:cs="Calibri"/>
          <w:lang w:val="en-US"/>
        </w:rPr>
        <w:lastRenderedPageBreak/>
        <w:t>Coherence of learning outcomes, learning activities and assessment</w:t>
      </w:r>
    </w:p>
    <w:p w:rsidR="00FC1620" w:rsidRPr="000A7F8D" w:rsidRDefault="00FC1620" w:rsidP="00FC1620">
      <w:pPr>
        <w:numPr>
          <w:ilvl w:val="0"/>
          <w:numId w:val="1"/>
        </w:numPr>
        <w:spacing w:before="0"/>
        <w:rPr>
          <w:rFonts w:ascii="Calibri" w:hAnsi="Calibri" w:cs="Calibri"/>
          <w:lang w:val="lt-LT"/>
        </w:rPr>
      </w:pPr>
      <w:r w:rsidRPr="000A7F8D">
        <w:rPr>
          <w:rFonts w:ascii="Calibri" w:hAnsi="Calibri" w:cs="Calibri"/>
          <w:lang w:val="lt-LT"/>
        </w:rPr>
        <w:t>Student-teacher collaboration</w:t>
      </w:r>
    </w:p>
    <w:p w:rsidR="00FC1620" w:rsidRPr="000A7F8D" w:rsidRDefault="00FC1620" w:rsidP="00FC1620">
      <w:pPr>
        <w:numPr>
          <w:ilvl w:val="0"/>
          <w:numId w:val="1"/>
        </w:numPr>
        <w:spacing w:before="0"/>
        <w:rPr>
          <w:rFonts w:ascii="Calibri" w:hAnsi="Calibri" w:cs="Calibri"/>
          <w:lang w:val="lt-LT"/>
        </w:rPr>
      </w:pPr>
      <w:r w:rsidRPr="000A7F8D">
        <w:rPr>
          <w:rFonts w:ascii="Calibri" w:hAnsi="Calibri" w:cs="Calibri"/>
          <w:lang w:val="en-US"/>
        </w:rPr>
        <w:t xml:space="preserve">Consistent use of </w:t>
      </w:r>
      <w:proofErr w:type="spellStart"/>
      <w:proofErr w:type="gramStart"/>
      <w:r w:rsidRPr="000A7F8D">
        <w:rPr>
          <w:rFonts w:ascii="Calibri" w:hAnsi="Calibri" w:cs="Calibri"/>
          <w:lang w:val="en-US"/>
        </w:rPr>
        <w:t>a</w:t>
      </w:r>
      <w:proofErr w:type="spellEnd"/>
      <w:proofErr w:type="gramEnd"/>
      <w:r w:rsidRPr="000A7F8D">
        <w:rPr>
          <w:rFonts w:ascii="Calibri" w:hAnsi="Calibri" w:cs="Calibri"/>
          <w:lang w:val="en-US"/>
        </w:rPr>
        <w:t xml:space="preserve"> assessment (scoring) scale</w:t>
      </w:r>
    </w:p>
    <w:p w:rsidR="00FC1620" w:rsidRPr="000A7F8D" w:rsidRDefault="00FC1620" w:rsidP="00FC1620">
      <w:pPr>
        <w:numPr>
          <w:ilvl w:val="0"/>
          <w:numId w:val="1"/>
        </w:numPr>
        <w:spacing w:before="0"/>
        <w:rPr>
          <w:rFonts w:ascii="Calibri" w:hAnsi="Calibri" w:cs="Calibri"/>
          <w:lang w:val="lt-LT"/>
        </w:rPr>
      </w:pPr>
      <w:r w:rsidRPr="000A7F8D">
        <w:rPr>
          <w:rFonts w:ascii="Calibri" w:hAnsi="Calibri" w:cs="Calibri"/>
          <w:lang w:val="en-US"/>
        </w:rPr>
        <w:t>Planning of the Achievement Assessment Process</w:t>
      </w:r>
    </w:p>
    <w:p w:rsidR="00FC1620" w:rsidRPr="000A7F8D" w:rsidRDefault="00FC1620" w:rsidP="00FC1620">
      <w:pPr>
        <w:numPr>
          <w:ilvl w:val="0"/>
          <w:numId w:val="1"/>
        </w:numPr>
        <w:spacing w:before="0"/>
        <w:rPr>
          <w:rFonts w:ascii="Calibri" w:hAnsi="Calibri" w:cs="Calibri"/>
          <w:lang w:val="lt-LT"/>
        </w:rPr>
      </w:pPr>
      <w:r w:rsidRPr="000A7F8D">
        <w:rPr>
          <w:rFonts w:ascii="Calibri" w:hAnsi="Calibri" w:cs="Calibri"/>
          <w:lang w:val="lt-LT"/>
        </w:rPr>
        <w:t>Student engagement</w:t>
      </w:r>
    </w:p>
    <w:p w:rsidR="00FC1620" w:rsidRPr="000A7F8D" w:rsidRDefault="00FC1620" w:rsidP="00FC1620">
      <w:pPr>
        <w:numPr>
          <w:ilvl w:val="0"/>
          <w:numId w:val="1"/>
        </w:numPr>
        <w:spacing w:before="0"/>
        <w:rPr>
          <w:rFonts w:ascii="Calibri" w:hAnsi="Calibri" w:cs="Calibri"/>
          <w:lang w:val="lt-LT"/>
        </w:rPr>
      </w:pPr>
      <w:r w:rsidRPr="000A7F8D">
        <w:rPr>
          <w:rFonts w:ascii="Calibri" w:hAnsi="Calibri" w:cs="Calibri"/>
          <w:lang w:val="lt-LT"/>
        </w:rPr>
        <w:t>Support for the teacher</w:t>
      </w:r>
      <w:r w:rsidRPr="000A7F8D">
        <w:rPr>
          <w:rFonts w:ascii="Calibri" w:hAnsi="Calibri" w:cs="Calibri"/>
          <w:lang w:val="en-US"/>
        </w:rPr>
        <w:t xml:space="preserve"> (Competence Development)</w:t>
      </w:r>
    </w:p>
    <w:p w:rsidR="00FC1620" w:rsidRPr="000A7F8D" w:rsidRDefault="00FC1620" w:rsidP="00FC1620">
      <w:pPr>
        <w:spacing w:before="0"/>
        <w:rPr>
          <w:rFonts w:ascii="Calibri" w:hAnsi="Calibri" w:cs="Calibri"/>
          <w:lang w:val="lt-LT"/>
        </w:rPr>
      </w:pPr>
    </w:p>
    <w:p w:rsidR="00FC1620" w:rsidRPr="000A7F8D" w:rsidRDefault="00FC1620" w:rsidP="00FC1620">
      <w:pPr>
        <w:spacing w:before="0"/>
        <w:rPr>
          <w:rFonts w:ascii="Calibri" w:hAnsi="Calibri" w:cs="Calibri"/>
          <w:b/>
          <w:bCs/>
        </w:rPr>
      </w:pPr>
    </w:p>
    <w:p w:rsidR="00FC1620" w:rsidRPr="000A7F8D" w:rsidRDefault="00FC1620" w:rsidP="00FC1620">
      <w:pPr>
        <w:spacing w:before="0"/>
        <w:rPr>
          <w:rFonts w:ascii="Calibri" w:hAnsi="Calibri" w:cs="Calibri"/>
          <w:b/>
          <w:bCs/>
          <w:lang w:val="en-US"/>
        </w:rPr>
      </w:pPr>
      <w:r w:rsidRPr="000A7F8D">
        <w:rPr>
          <w:rFonts w:ascii="Calibri" w:hAnsi="Calibri" w:cs="Calibri"/>
          <w:b/>
          <w:bCs/>
          <w:lang w:val="en-US"/>
        </w:rPr>
        <w:t xml:space="preserve">Feedback system </w:t>
      </w:r>
    </w:p>
    <w:p w:rsidR="00FC1620" w:rsidRPr="000A7F8D" w:rsidRDefault="00FC1620" w:rsidP="00FC1620">
      <w:pPr>
        <w:spacing w:before="0"/>
        <w:rPr>
          <w:rFonts w:ascii="Calibri" w:hAnsi="Calibri" w:cs="Calibri"/>
          <w:lang w:val="lt-LT"/>
        </w:rPr>
      </w:pPr>
      <w:r w:rsidRPr="000A7F8D">
        <w:rPr>
          <w:rFonts w:ascii="Calibri" w:hAnsi="Calibri" w:cs="Calibri"/>
          <w:lang w:val="en-US"/>
        </w:rPr>
        <w:t>Students are important stakeholders in the quality monitoring and assessment process, and it is important to obtain their views.</w:t>
      </w:r>
    </w:p>
    <w:p w:rsidR="00FC1620" w:rsidRPr="000A7F8D" w:rsidRDefault="00FC1620" w:rsidP="00FC1620">
      <w:pPr>
        <w:spacing w:before="0"/>
        <w:rPr>
          <w:rFonts w:ascii="Calibri" w:hAnsi="Calibri" w:cs="Calibri"/>
          <w:lang w:val="lt-LT"/>
        </w:rPr>
      </w:pPr>
      <w:r w:rsidRPr="000A7F8D">
        <w:rPr>
          <w:rFonts w:ascii="Calibri" w:hAnsi="Calibri" w:cs="Calibri"/>
          <w:lang w:val="en-US"/>
        </w:rPr>
        <w:t xml:space="preserve">Feedback </w:t>
      </w:r>
      <w:r w:rsidRPr="000A7F8D">
        <w:rPr>
          <w:rFonts w:ascii="Calibri" w:hAnsi="Calibri" w:cs="Calibri"/>
          <w:b/>
          <w:bCs/>
          <w:lang w:val="en-US"/>
        </w:rPr>
        <w:t xml:space="preserve">from students </w:t>
      </w:r>
      <w:r w:rsidRPr="000A7F8D">
        <w:rPr>
          <w:rFonts w:ascii="Calibri" w:hAnsi="Calibri" w:cs="Calibri"/>
          <w:lang w:val="en-US"/>
        </w:rPr>
        <w:t xml:space="preserve">has two main functions: </w:t>
      </w:r>
    </w:p>
    <w:p w:rsidR="00FC1620" w:rsidRPr="000A7F8D" w:rsidRDefault="00FC1620" w:rsidP="00FC1620">
      <w:pPr>
        <w:numPr>
          <w:ilvl w:val="0"/>
          <w:numId w:val="4"/>
        </w:numPr>
        <w:spacing w:before="0"/>
        <w:rPr>
          <w:rFonts w:ascii="Calibri" w:hAnsi="Calibri" w:cs="Calibri"/>
          <w:lang w:val="lt-LT"/>
        </w:rPr>
      </w:pPr>
      <w:r w:rsidRPr="000A7F8D">
        <w:rPr>
          <w:rFonts w:ascii="Calibri" w:hAnsi="Calibri" w:cs="Calibri"/>
          <w:lang w:val="lt-LT"/>
        </w:rPr>
        <w:t>internal information to guide improvement of study programme;</w:t>
      </w:r>
    </w:p>
    <w:p w:rsidR="00FC1620" w:rsidRPr="000A7F8D" w:rsidRDefault="00FC1620" w:rsidP="00FC1620">
      <w:pPr>
        <w:numPr>
          <w:ilvl w:val="0"/>
          <w:numId w:val="4"/>
        </w:numPr>
        <w:spacing w:before="0"/>
        <w:rPr>
          <w:rFonts w:ascii="Calibri" w:hAnsi="Calibri" w:cs="Calibri"/>
          <w:lang w:val="lt-LT"/>
        </w:rPr>
      </w:pPr>
      <w:r w:rsidRPr="000A7F8D">
        <w:rPr>
          <w:rFonts w:ascii="Calibri" w:hAnsi="Calibri" w:cs="Calibri"/>
          <w:lang w:val="en-US"/>
        </w:rPr>
        <w:t>external information for potential students and other stakeholders</w:t>
      </w:r>
    </w:p>
    <w:p w:rsidR="00FC1620" w:rsidRPr="000A7F8D" w:rsidRDefault="00FC1620" w:rsidP="00FC1620">
      <w:pPr>
        <w:spacing w:before="0"/>
        <w:rPr>
          <w:rFonts w:ascii="Calibri" w:hAnsi="Calibri" w:cs="Calibri"/>
          <w:lang w:val="lt-LT"/>
        </w:rPr>
      </w:pPr>
      <w:r w:rsidRPr="000A7F8D">
        <w:rPr>
          <w:rFonts w:ascii="Calibri" w:hAnsi="Calibri" w:cs="Calibri"/>
          <w:lang w:val="en-US"/>
        </w:rPr>
        <w:t>F</w:t>
      </w:r>
      <w:r w:rsidRPr="000A7F8D">
        <w:rPr>
          <w:rFonts w:ascii="Calibri" w:hAnsi="Calibri" w:cs="Calibri"/>
          <w:lang w:val="lt-LT"/>
        </w:rPr>
        <w:t xml:space="preserve">eedback </w:t>
      </w:r>
      <w:r w:rsidRPr="000A7F8D">
        <w:rPr>
          <w:rFonts w:ascii="Calibri" w:hAnsi="Calibri" w:cs="Calibri"/>
          <w:b/>
          <w:bCs/>
          <w:lang w:val="lt-LT"/>
        </w:rPr>
        <w:t>for students</w:t>
      </w:r>
      <w:r w:rsidRPr="000A7F8D">
        <w:rPr>
          <w:rFonts w:ascii="Calibri" w:hAnsi="Calibri" w:cs="Calibri"/>
          <w:lang w:val="en-US"/>
        </w:rPr>
        <w:t xml:space="preserve">: </w:t>
      </w:r>
    </w:p>
    <w:p w:rsidR="00FC1620" w:rsidRPr="000A7F8D" w:rsidRDefault="00FC1620" w:rsidP="00FC1620">
      <w:pPr>
        <w:numPr>
          <w:ilvl w:val="0"/>
          <w:numId w:val="5"/>
        </w:numPr>
        <w:spacing w:before="0"/>
        <w:rPr>
          <w:rFonts w:ascii="Calibri" w:hAnsi="Calibri" w:cs="Calibri"/>
          <w:lang w:val="lt-LT"/>
        </w:rPr>
      </w:pPr>
      <w:r w:rsidRPr="000A7F8D">
        <w:rPr>
          <w:rFonts w:ascii="Calibri" w:hAnsi="Calibri" w:cs="Calibri"/>
          <w:lang w:val="en-US"/>
        </w:rPr>
        <w:t>Feedback helps to get information for current and potential students about the situation regarding study quality</w:t>
      </w:r>
    </w:p>
    <w:p w:rsidR="00FC1620" w:rsidRPr="000A7F8D" w:rsidRDefault="00FC1620" w:rsidP="00FC1620">
      <w:pPr>
        <w:numPr>
          <w:ilvl w:val="0"/>
          <w:numId w:val="5"/>
        </w:numPr>
        <w:spacing w:before="0"/>
        <w:rPr>
          <w:rFonts w:ascii="Calibri" w:hAnsi="Calibri" w:cs="Calibri"/>
          <w:lang w:val="lt-LT"/>
        </w:rPr>
      </w:pPr>
      <w:r w:rsidRPr="000A7F8D">
        <w:rPr>
          <w:rFonts w:ascii="Calibri" w:hAnsi="Calibri" w:cs="Calibri"/>
          <w:lang w:val="en-US"/>
        </w:rPr>
        <w:t xml:space="preserve">Feedback for students is very important part in education system. They always are interested in and looking forward to hear identified areas for action and what kind of improvements will be carried out </w:t>
      </w:r>
    </w:p>
    <w:p w:rsidR="00FC1620" w:rsidRPr="000A7F8D" w:rsidRDefault="00FC1620" w:rsidP="00FC1620">
      <w:pPr>
        <w:spacing w:before="0"/>
        <w:rPr>
          <w:rFonts w:ascii="Calibri" w:hAnsi="Calibri" w:cs="Calibri"/>
          <w:b/>
          <w:bCs/>
          <w:lang w:val="lt-LT"/>
        </w:rPr>
      </w:pPr>
    </w:p>
    <w:p w:rsidR="00FC1620" w:rsidRPr="000A7F8D" w:rsidRDefault="00FC1620" w:rsidP="00FC1620">
      <w:pPr>
        <w:spacing w:before="0"/>
        <w:rPr>
          <w:rFonts w:ascii="Calibri" w:hAnsi="Calibri" w:cs="Calibri"/>
          <w:lang w:val="lt-LT"/>
        </w:rPr>
      </w:pPr>
      <w:r w:rsidRPr="000A7F8D">
        <w:rPr>
          <w:rFonts w:ascii="Calibri" w:hAnsi="Calibri" w:cs="Calibri"/>
          <w:b/>
          <w:bCs/>
          <w:lang w:val="lt-LT"/>
        </w:rPr>
        <w:t>Feadback for teachers</w:t>
      </w:r>
      <w:r w:rsidRPr="000A7F8D">
        <w:rPr>
          <w:rFonts w:ascii="Calibri" w:hAnsi="Calibri" w:cs="Calibri"/>
          <w:b/>
          <w:bCs/>
          <w:lang w:val="en-US"/>
        </w:rPr>
        <w:t>:</w:t>
      </w:r>
    </w:p>
    <w:p w:rsidR="00FC1620" w:rsidRPr="000A7F8D" w:rsidRDefault="00FC1620" w:rsidP="00FC1620">
      <w:pPr>
        <w:numPr>
          <w:ilvl w:val="0"/>
          <w:numId w:val="6"/>
        </w:numPr>
        <w:spacing w:before="0"/>
        <w:rPr>
          <w:rFonts w:ascii="Calibri" w:hAnsi="Calibri" w:cs="Calibri"/>
          <w:lang w:val="lt-LT"/>
        </w:rPr>
      </w:pPr>
      <w:r w:rsidRPr="000A7F8D">
        <w:rPr>
          <w:rFonts w:ascii="Calibri" w:hAnsi="Calibri" w:cs="Calibri"/>
          <w:lang w:val="en-US"/>
        </w:rPr>
        <w:t>The power of feedback for teachers is information about what is happening in their courses and their classroom;</w:t>
      </w:r>
    </w:p>
    <w:p w:rsidR="00FC1620" w:rsidRPr="000A7F8D" w:rsidRDefault="00FC1620" w:rsidP="00FC1620">
      <w:pPr>
        <w:numPr>
          <w:ilvl w:val="0"/>
          <w:numId w:val="6"/>
        </w:numPr>
        <w:spacing w:before="0"/>
        <w:rPr>
          <w:rFonts w:ascii="Calibri" w:hAnsi="Calibri" w:cs="Calibri"/>
          <w:lang w:val="lt-LT"/>
        </w:rPr>
      </w:pPr>
      <w:r w:rsidRPr="000A7F8D">
        <w:rPr>
          <w:rFonts w:ascii="Calibri" w:hAnsi="Calibri" w:cs="Calibri"/>
          <w:lang w:val="en-US"/>
        </w:rPr>
        <w:t>Feedback helps the teacher to identify and meet the needs of the students;</w:t>
      </w:r>
    </w:p>
    <w:p w:rsidR="00FC1620" w:rsidRPr="000A7F8D" w:rsidRDefault="00FC1620" w:rsidP="00FC1620">
      <w:pPr>
        <w:numPr>
          <w:ilvl w:val="0"/>
          <w:numId w:val="6"/>
        </w:numPr>
        <w:spacing w:before="0"/>
        <w:rPr>
          <w:rFonts w:ascii="Calibri" w:hAnsi="Calibri" w:cs="Calibri"/>
          <w:lang w:val="lt-LT"/>
        </w:rPr>
      </w:pPr>
      <w:r w:rsidRPr="000A7F8D">
        <w:rPr>
          <w:rFonts w:ascii="Calibri" w:hAnsi="Calibri" w:cs="Calibri"/>
          <w:lang w:val="en-US"/>
        </w:rPr>
        <w:t xml:space="preserve">Feedback assists the teacher in improving and further developing their teaching. </w:t>
      </w:r>
    </w:p>
    <w:p w:rsidR="00FC1620" w:rsidRPr="000A7F8D" w:rsidRDefault="00FC1620" w:rsidP="00FC1620">
      <w:pPr>
        <w:spacing w:before="0"/>
        <w:rPr>
          <w:rFonts w:ascii="Calibri" w:hAnsi="Calibri" w:cs="Calibri"/>
          <w:lang w:val="lt-LT"/>
        </w:rPr>
      </w:pPr>
    </w:p>
    <w:p w:rsidR="00B13D0E" w:rsidRPr="00FC1620" w:rsidRDefault="0079126B">
      <w:pPr>
        <w:rPr>
          <w:lang w:val="lt-LT"/>
        </w:rPr>
      </w:pPr>
    </w:p>
    <w:sectPr w:rsidR="00B13D0E" w:rsidRPr="00FC1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237"/>
    <w:multiLevelType w:val="hybridMultilevel"/>
    <w:tmpl w:val="B2A619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A70F1"/>
    <w:multiLevelType w:val="hybridMultilevel"/>
    <w:tmpl w:val="3496DAC0"/>
    <w:lvl w:ilvl="0" w:tplc="B5ECAA48">
      <w:start w:val="1"/>
      <w:numFmt w:val="bullet"/>
      <w:lvlText w:val="•"/>
      <w:lvlJc w:val="left"/>
      <w:pPr>
        <w:tabs>
          <w:tab w:val="num" w:pos="720"/>
        </w:tabs>
        <w:ind w:left="720" w:hanging="360"/>
      </w:pPr>
      <w:rPr>
        <w:rFonts w:ascii="Arial" w:hAnsi="Arial" w:hint="default"/>
      </w:rPr>
    </w:lvl>
    <w:lvl w:ilvl="1" w:tplc="4148ED64" w:tentative="1">
      <w:start w:val="1"/>
      <w:numFmt w:val="bullet"/>
      <w:lvlText w:val="•"/>
      <w:lvlJc w:val="left"/>
      <w:pPr>
        <w:tabs>
          <w:tab w:val="num" w:pos="1440"/>
        </w:tabs>
        <w:ind w:left="1440" w:hanging="360"/>
      </w:pPr>
      <w:rPr>
        <w:rFonts w:ascii="Arial" w:hAnsi="Arial" w:hint="default"/>
      </w:rPr>
    </w:lvl>
    <w:lvl w:ilvl="2" w:tplc="96687B26" w:tentative="1">
      <w:start w:val="1"/>
      <w:numFmt w:val="bullet"/>
      <w:lvlText w:val="•"/>
      <w:lvlJc w:val="left"/>
      <w:pPr>
        <w:tabs>
          <w:tab w:val="num" w:pos="2160"/>
        </w:tabs>
        <w:ind w:left="2160" w:hanging="360"/>
      </w:pPr>
      <w:rPr>
        <w:rFonts w:ascii="Arial" w:hAnsi="Arial" w:hint="default"/>
      </w:rPr>
    </w:lvl>
    <w:lvl w:ilvl="3" w:tplc="E3CE12B0" w:tentative="1">
      <w:start w:val="1"/>
      <w:numFmt w:val="bullet"/>
      <w:lvlText w:val="•"/>
      <w:lvlJc w:val="left"/>
      <w:pPr>
        <w:tabs>
          <w:tab w:val="num" w:pos="2880"/>
        </w:tabs>
        <w:ind w:left="2880" w:hanging="360"/>
      </w:pPr>
      <w:rPr>
        <w:rFonts w:ascii="Arial" w:hAnsi="Arial" w:hint="default"/>
      </w:rPr>
    </w:lvl>
    <w:lvl w:ilvl="4" w:tplc="320A2BC2" w:tentative="1">
      <w:start w:val="1"/>
      <w:numFmt w:val="bullet"/>
      <w:lvlText w:val="•"/>
      <w:lvlJc w:val="left"/>
      <w:pPr>
        <w:tabs>
          <w:tab w:val="num" w:pos="3600"/>
        </w:tabs>
        <w:ind w:left="3600" w:hanging="360"/>
      </w:pPr>
      <w:rPr>
        <w:rFonts w:ascii="Arial" w:hAnsi="Arial" w:hint="default"/>
      </w:rPr>
    </w:lvl>
    <w:lvl w:ilvl="5" w:tplc="0AD29FC2" w:tentative="1">
      <w:start w:val="1"/>
      <w:numFmt w:val="bullet"/>
      <w:lvlText w:val="•"/>
      <w:lvlJc w:val="left"/>
      <w:pPr>
        <w:tabs>
          <w:tab w:val="num" w:pos="4320"/>
        </w:tabs>
        <w:ind w:left="4320" w:hanging="360"/>
      </w:pPr>
      <w:rPr>
        <w:rFonts w:ascii="Arial" w:hAnsi="Arial" w:hint="default"/>
      </w:rPr>
    </w:lvl>
    <w:lvl w:ilvl="6" w:tplc="4DC010B0" w:tentative="1">
      <w:start w:val="1"/>
      <w:numFmt w:val="bullet"/>
      <w:lvlText w:val="•"/>
      <w:lvlJc w:val="left"/>
      <w:pPr>
        <w:tabs>
          <w:tab w:val="num" w:pos="5040"/>
        </w:tabs>
        <w:ind w:left="5040" w:hanging="360"/>
      </w:pPr>
      <w:rPr>
        <w:rFonts w:ascii="Arial" w:hAnsi="Arial" w:hint="default"/>
      </w:rPr>
    </w:lvl>
    <w:lvl w:ilvl="7" w:tplc="90B63074" w:tentative="1">
      <w:start w:val="1"/>
      <w:numFmt w:val="bullet"/>
      <w:lvlText w:val="•"/>
      <w:lvlJc w:val="left"/>
      <w:pPr>
        <w:tabs>
          <w:tab w:val="num" w:pos="5760"/>
        </w:tabs>
        <w:ind w:left="5760" w:hanging="360"/>
      </w:pPr>
      <w:rPr>
        <w:rFonts w:ascii="Arial" w:hAnsi="Arial" w:hint="default"/>
      </w:rPr>
    </w:lvl>
    <w:lvl w:ilvl="8" w:tplc="2C6C80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A2494C"/>
    <w:multiLevelType w:val="hybridMultilevel"/>
    <w:tmpl w:val="41A610D0"/>
    <w:lvl w:ilvl="0" w:tplc="4CF02920">
      <w:start w:val="1"/>
      <w:numFmt w:val="bullet"/>
      <w:lvlText w:val="•"/>
      <w:lvlJc w:val="left"/>
      <w:pPr>
        <w:tabs>
          <w:tab w:val="num" w:pos="720"/>
        </w:tabs>
        <w:ind w:left="720" w:hanging="360"/>
      </w:pPr>
      <w:rPr>
        <w:rFonts w:ascii="Arial" w:hAnsi="Arial" w:hint="default"/>
      </w:rPr>
    </w:lvl>
    <w:lvl w:ilvl="1" w:tplc="2A6A720E" w:tentative="1">
      <w:start w:val="1"/>
      <w:numFmt w:val="bullet"/>
      <w:lvlText w:val="•"/>
      <w:lvlJc w:val="left"/>
      <w:pPr>
        <w:tabs>
          <w:tab w:val="num" w:pos="1440"/>
        </w:tabs>
        <w:ind w:left="1440" w:hanging="360"/>
      </w:pPr>
      <w:rPr>
        <w:rFonts w:ascii="Arial" w:hAnsi="Arial" w:hint="default"/>
      </w:rPr>
    </w:lvl>
    <w:lvl w:ilvl="2" w:tplc="EDE29DA0" w:tentative="1">
      <w:start w:val="1"/>
      <w:numFmt w:val="bullet"/>
      <w:lvlText w:val="•"/>
      <w:lvlJc w:val="left"/>
      <w:pPr>
        <w:tabs>
          <w:tab w:val="num" w:pos="2160"/>
        </w:tabs>
        <w:ind w:left="2160" w:hanging="360"/>
      </w:pPr>
      <w:rPr>
        <w:rFonts w:ascii="Arial" w:hAnsi="Arial" w:hint="default"/>
      </w:rPr>
    </w:lvl>
    <w:lvl w:ilvl="3" w:tplc="68D2C0CA" w:tentative="1">
      <w:start w:val="1"/>
      <w:numFmt w:val="bullet"/>
      <w:lvlText w:val="•"/>
      <w:lvlJc w:val="left"/>
      <w:pPr>
        <w:tabs>
          <w:tab w:val="num" w:pos="2880"/>
        </w:tabs>
        <w:ind w:left="2880" w:hanging="360"/>
      </w:pPr>
      <w:rPr>
        <w:rFonts w:ascii="Arial" w:hAnsi="Arial" w:hint="default"/>
      </w:rPr>
    </w:lvl>
    <w:lvl w:ilvl="4" w:tplc="95AC94EC" w:tentative="1">
      <w:start w:val="1"/>
      <w:numFmt w:val="bullet"/>
      <w:lvlText w:val="•"/>
      <w:lvlJc w:val="left"/>
      <w:pPr>
        <w:tabs>
          <w:tab w:val="num" w:pos="3600"/>
        </w:tabs>
        <w:ind w:left="3600" w:hanging="360"/>
      </w:pPr>
      <w:rPr>
        <w:rFonts w:ascii="Arial" w:hAnsi="Arial" w:hint="default"/>
      </w:rPr>
    </w:lvl>
    <w:lvl w:ilvl="5" w:tplc="945047A2" w:tentative="1">
      <w:start w:val="1"/>
      <w:numFmt w:val="bullet"/>
      <w:lvlText w:val="•"/>
      <w:lvlJc w:val="left"/>
      <w:pPr>
        <w:tabs>
          <w:tab w:val="num" w:pos="4320"/>
        </w:tabs>
        <w:ind w:left="4320" w:hanging="360"/>
      </w:pPr>
      <w:rPr>
        <w:rFonts w:ascii="Arial" w:hAnsi="Arial" w:hint="default"/>
      </w:rPr>
    </w:lvl>
    <w:lvl w:ilvl="6" w:tplc="648E38B0" w:tentative="1">
      <w:start w:val="1"/>
      <w:numFmt w:val="bullet"/>
      <w:lvlText w:val="•"/>
      <w:lvlJc w:val="left"/>
      <w:pPr>
        <w:tabs>
          <w:tab w:val="num" w:pos="5040"/>
        </w:tabs>
        <w:ind w:left="5040" w:hanging="360"/>
      </w:pPr>
      <w:rPr>
        <w:rFonts w:ascii="Arial" w:hAnsi="Arial" w:hint="default"/>
      </w:rPr>
    </w:lvl>
    <w:lvl w:ilvl="7" w:tplc="21F89A5C" w:tentative="1">
      <w:start w:val="1"/>
      <w:numFmt w:val="bullet"/>
      <w:lvlText w:val="•"/>
      <w:lvlJc w:val="left"/>
      <w:pPr>
        <w:tabs>
          <w:tab w:val="num" w:pos="5760"/>
        </w:tabs>
        <w:ind w:left="5760" w:hanging="360"/>
      </w:pPr>
      <w:rPr>
        <w:rFonts w:ascii="Arial" w:hAnsi="Arial" w:hint="default"/>
      </w:rPr>
    </w:lvl>
    <w:lvl w:ilvl="8" w:tplc="682003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C555E8"/>
    <w:multiLevelType w:val="hybridMultilevel"/>
    <w:tmpl w:val="EADECD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E761F9"/>
    <w:multiLevelType w:val="hybridMultilevel"/>
    <w:tmpl w:val="CD92D5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73BAC"/>
    <w:multiLevelType w:val="hybridMultilevel"/>
    <w:tmpl w:val="DE3C4D8A"/>
    <w:lvl w:ilvl="0" w:tplc="F5B6D3E4">
      <w:start w:val="1"/>
      <w:numFmt w:val="bullet"/>
      <w:lvlText w:val="•"/>
      <w:lvlJc w:val="left"/>
      <w:pPr>
        <w:tabs>
          <w:tab w:val="num" w:pos="720"/>
        </w:tabs>
        <w:ind w:left="720" w:hanging="360"/>
      </w:pPr>
      <w:rPr>
        <w:rFonts w:ascii="Arial" w:hAnsi="Arial" w:hint="default"/>
      </w:rPr>
    </w:lvl>
    <w:lvl w:ilvl="1" w:tplc="4AA85BBE" w:tentative="1">
      <w:start w:val="1"/>
      <w:numFmt w:val="bullet"/>
      <w:lvlText w:val="•"/>
      <w:lvlJc w:val="left"/>
      <w:pPr>
        <w:tabs>
          <w:tab w:val="num" w:pos="1440"/>
        </w:tabs>
        <w:ind w:left="1440" w:hanging="360"/>
      </w:pPr>
      <w:rPr>
        <w:rFonts w:ascii="Arial" w:hAnsi="Arial" w:hint="default"/>
      </w:rPr>
    </w:lvl>
    <w:lvl w:ilvl="2" w:tplc="0180D04E" w:tentative="1">
      <w:start w:val="1"/>
      <w:numFmt w:val="bullet"/>
      <w:lvlText w:val="•"/>
      <w:lvlJc w:val="left"/>
      <w:pPr>
        <w:tabs>
          <w:tab w:val="num" w:pos="2160"/>
        </w:tabs>
        <w:ind w:left="2160" w:hanging="360"/>
      </w:pPr>
      <w:rPr>
        <w:rFonts w:ascii="Arial" w:hAnsi="Arial" w:hint="default"/>
      </w:rPr>
    </w:lvl>
    <w:lvl w:ilvl="3" w:tplc="ED3825F2" w:tentative="1">
      <w:start w:val="1"/>
      <w:numFmt w:val="bullet"/>
      <w:lvlText w:val="•"/>
      <w:lvlJc w:val="left"/>
      <w:pPr>
        <w:tabs>
          <w:tab w:val="num" w:pos="2880"/>
        </w:tabs>
        <w:ind w:left="2880" w:hanging="360"/>
      </w:pPr>
      <w:rPr>
        <w:rFonts w:ascii="Arial" w:hAnsi="Arial" w:hint="default"/>
      </w:rPr>
    </w:lvl>
    <w:lvl w:ilvl="4" w:tplc="3B7EDC70" w:tentative="1">
      <w:start w:val="1"/>
      <w:numFmt w:val="bullet"/>
      <w:lvlText w:val="•"/>
      <w:lvlJc w:val="left"/>
      <w:pPr>
        <w:tabs>
          <w:tab w:val="num" w:pos="3600"/>
        </w:tabs>
        <w:ind w:left="3600" w:hanging="360"/>
      </w:pPr>
      <w:rPr>
        <w:rFonts w:ascii="Arial" w:hAnsi="Arial" w:hint="default"/>
      </w:rPr>
    </w:lvl>
    <w:lvl w:ilvl="5" w:tplc="47A29864" w:tentative="1">
      <w:start w:val="1"/>
      <w:numFmt w:val="bullet"/>
      <w:lvlText w:val="•"/>
      <w:lvlJc w:val="left"/>
      <w:pPr>
        <w:tabs>
          <w:tab w:val="num" w:pos="4320"/>
        </w:tabs>
        <w:ind w:left="4320" w:hanging="360"/>
      </w:pPr>
      <w:rPr>
        <w:rFonts w:ascii="Arial" w:hAnsi="Arial" w:hint="default"/>
      </w:rPr>
    </w:lvl>
    <w:lvl w:ilvl="6" w:tplc="A9BC4172" w:tentative="1">
      <w:start w:val="1"/>
      <w:numFmt w:val="bullet"/>
      <w:lvlText w:val="•"/>
      <w:lvlJc w:val="left"/>
      <w:pPr>
        <w:tabs>
          <w:tab w:val="num" w:pos="5040"/>
        </w:tabs>
        <w:ind w:left="5040" w:hanging="360"/>
      </w:pPr>
      <w:rPr>
        <w:rFonts w:ascii="Arial" w:hAnsi="Arial" w:hint="default"/>
      </w:rPr>
    </w:lvl>
    <w:lvl w:ilvl="7" w:tplc="35682A5E" w:tentative="1">
      <w:start w:val="1"/>
      <w:numFmt w:val="bullet"/>
      <w:lvlText w:val="•"/>
      <w:lvlJc w:val="left"/>
      <w:pPr>
        <w:tabs>
          <w:tab w:val="num" w:pos="5760"/>
        </w:tabs>
        <w:ind w:left="5760" w:hanging="360"/>
      </w:pPr>
      <w:rPr>
        <w:rFonts w:ascii="Arial" w:hAnsi="Arial" w:hint="default"/>
      </w:rPr>
    </w:lvl>
    <w:lvl w:ilvl="8" w:tplc="A776D4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C613D"/>
    <w:multiLevelType w:val="hybridMultilevel"/>
    <w:tmpl w:val="D81AF7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CE76DE"/>
    <w:multiLevelType w:val="hybridMultilevel"/>
    <w:tmpl w:val="E1CAC33A"/>
    <w:lvl w:ilvl="0" w:tplc="125CC478">
      <w:start w:val="1"/>
      <w:numFmt w:val="decimal"/>
      <w:lvlText w:val="%1."/>
      <w:lvlJc w:val="left"/>
      <w:pPr>
        <w:tabs>
          <w:tab w:val="num" w:pos="720"/>
        </w:tabs>
        <w:ind w:left="720" w:hanging="360"/>
      </w:pPr>
    </w:lvl>
    <w:lvl w:ilvl="1" w:tplc="D5CA55D0" w:tentative="1">
      <w:start w:val="1"/>
      <w:numFmt w:val="decimal"/>
      <w:lvlText w:val="%2."/>
      <w:lvlJc w:val="left"/>
      <w:pPr>
        <w:tabs>
          <w:tab w:val="num" w:pos="1440"/>
        </w:tabs>
        <w:ind w:left="1440" w:hanging="360"/>
      </w:pPr>
    </w:lvl>
    <w:lvl w:ilvl="2" w:tplc="6D107456" w:tentative="1">
      <w:start w:val="1"/>
      <w:numFmt w:val="decimal"/>
      <w:lvlText w:val="%3."/>
      <w:lvlJc w:val="left"/>
      <w:pPr>
        <w:tabs>
          <w:tab w:val="num" w:pos="2160"/>
        </w:tabs>
        <w:ind w:left="2160" w:hanging="360"/>
      </w:pPr>
    </w:lvl>
    <w:lvl w:ilvl="3" w:tplc="9A206862" w:tentative="1">
      <w:start w:val="1"/>
      <w:numFmt w:val="decimal"/>
      <w:lvlText w:val="%4."/>
      <w:lvlJc w:val="left"/>
      <w:pPr>
        <w:tabs>
          <w:tab w:val="num" w:pos="2880"/>
        </w:tabs>
        <w:ind w:left="2880" w:hanging="360"/>
      </w:pPr>
    </w:lvl>
    <w:lvl w:ilvl="4" w:tplc="EC783B78" w:tentative="1">
      <w:start w:val="1"/>
      <w:numFmt w:val="decimal"/>
      <w:lvlText w:val="%5."/>
      <w:lvlJc w:val="left"/>
      <w:pPr>
        <w:tabs>
          <w:tab w:val="num" w:pos="3600"/>
        </w:tabs>
        <w:ind w:left="3600" w:hanging="360"/>
      </w:pPr>
    </w:lvl>
    <w:lvl w:ilvl="5" w:tplc="D7B00E7A" w:tentative="1">
      <w:start w:val="1"/>
      <w:numFmt w:val="decimal"/>
      <w:lvlText w:val="%6."/>
      <w:lvlJc w:val="left"/>
      <w:pPr>
        <w:tabs>
          <w:tab w:val="num" w:pos="4320"/>
        </w:tabs>
        <w:ind w:left="4320" w:hanging="360"/>
      </w:pPr>
    </w:lvl>
    <w:lvl w:ilvl="6" w:tplc="A60EE520" w:tentative="1">
      <w:start w:val="1"/>
      <w:numFmt w:val="decimal"/>
      <w:lvlText w:val="%7."/>
      <w:lvlJc w:val="left"/>
      <w:pPr>
        <w:tabs>
          <w:tab w:val="num" w:pos="5040"/>
        </w:tabs>
        <w:ind w:left="5040" w:hanging="360"/>
      </w:pPr>
    </w:lvl>
    <w:lvl w:ilvl="7" w:tplc="798A33C2" w:tentative="1">
      <w:start w:val="1"/>
      <w:numFmt w:val="decimal"/>
      <w:lvlText w:val="%8."/>
      <w:lvlJc w:val="left"/>
      <w:pPr>
        <w:tabs>
          <w:tab w:val="num" w:pos="5760"/>
        </w:tabs>
        <w:ind w:left="5760" w:hanging="360"/>
      </w:pPr>
    </w:lvl>
    <w:lvl w:ilvl="8" w:tplc="EEA8507E"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20"/>
    <w:rsid w:val="004D0637"/>
    <w:rsid w:val="0079126B"/>
    <w:rsid w:val="00A249C8"/>
    <w:rsid w:val="00FC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9683"/>
  <w15:chartTrackingRefBased/>
  <w15:docId w15:val="{ABB88BDF-0C0C-470D-A9BA-3B2AB50F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20"/>
    <w:pPr>
      <w:spacing w:before="120" w:after="0" w:line="240" w:lineRule="auto"/>
      <w:jc w:val="both"/>
    </w:pPr>
    <w:rPr>
      <w:rFonts w:ascii="Arial" w:eastAsia="Times New Roman" w:hAnsi="Arial" w:cs="Arial"/>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1620"/>
    <w:pPr>
      <w:ind w:left="720"/>
      <w:contextualSpacing/>
    </w:pPr>
  </w:style>
  <w:style w:type="character" w:styleId="a5">
    <w:name w:val="footnote reference"/>
    <w:uiPriority w:val="99"/>
    <w:unhideWhenUsed/>
    <w:rsid w:val="00FC1620"/>
    <w:rPr>
      <w:vertAlign w:val="superscript"/>
    </w:rPr>
  </w:style>
  <w:style w:type="character" w:customStyle="1" w:styleId="a4">
    <w:name w:val="Абзац списка Знак"/>
    <w:link w:val="a3"/>
    <w:uiPriority w:val="34"/>
    <w:locked/>
    <w:rsid w:val="00FC1620"/>
    <w:rPr>
      <w:rFonts w:ascii="Arial" w:eastAsia="Times New Roman" w:hAnsi="Arial" w:cs="Arial"/>
      <w:lang w:val="en-GB" w:eastAsia="fr-FR"/>
    </w:rPr>
  </w:style>
  <w:style w:type="paragraph" w:styleId="a6">
    <w:name w:val="Normal (Web)"/>
    <w:basedOn w:val="a"/>
    <w:uiPriority w:val="99"/>
    <w:semiHidden/>
    <w:unhideWhenUsed/>
    <w:rsid w:val="0079126B"/>
    <w:pPr>
      <w:spacing w:before="100" w:beforeAutospacing="1" w:after="100" w:afterAutospacing="1"/>
      <w:jc w:val="left"/>
    </w:pPr>
    <w:rPr>
      <w:rFonts w:ascii="Times New Roman" w:eastAsiaTheme="minorEastAsia"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Aytac Atakishiyeva</dc:creator>
  <cp:keywords/>
  <dc:description/>
  <cp:lastModifiedBy>Aytac Atakishiyeva</cp:lastModifiedBy>
  <cp:revision>2</cp:revision>
  <dcterms:created xsi:type="dcterms:W3CDTF">2020-04-02T07:59:00Z</dcterms:created>
  <dcterms:modified xsi:type="dcterms:W3CDTF">2020-04-02T08:08:00Z</dcterms:modified>
</cp:coreProperties>
</file>