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15" w:rsidRPr="0012286D" w:rsidRDefault="00B46415" w:rsidP="00B46415">
      <w:pPr>
        <w:spacing w:after="0" w:line="240" w:lineRule="auto"/>
        <w:ind w:left="389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286D">
        <w:rPr>
          <w:rFonts w:ascii="Times New Roman" w:hAnsi="Times New Roman" w:cs="Times New Roman"/>
          <w:b/>
          <w:i/>
          <w:sz w:val="28"/>
          <w:szCs w:val="28"/>
        </w:rPr>
        <w:t>ANNEX 1</w:t>
      </w:r>
    </w:p>
    <w:p w:rsidR="00B46415" w:rsidRPr="0012286D" w:rsidRDefault="00B46415" w:rsidP="00B46415">
      <w:pPr>
        <w:spacing w:after="0" w:line="240" w:lineRule="auto"/>
        <w:ind w:left="389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</w:t>
      </w:r>
      <w:r w:rsidRPr="0012286D">
        <w:rPr>
          <w:rFonts w:ascii="Times New Roman" w:hAnsi="Times New Roman" w:cs="Times New Roman"/>
          <w:b/>
          <w:i/>
          <w:sz w:val="28"/>
          <w:szCs w:val="28"/>
        </w:rPr>
        <w:t>o the mission report on activity 3.1.</w:t>
      </w:r>
    </w:p>
    <w:p w:rsidR="00B46415" w:rsidRDefault="00B46415" w:rsidP="00B46415">
      <w:pPr>
        <w:rPr>
          <w:rFonts w:ascii="Times New Roman" w:hAnsi="Times New Roman" w:cs="Times New Roman"/>
          <w:b/>
          <w:sz w:val="28"/>
          <w:szCs w:val="28"/>
        </w:rPr>
      </w:pPr>
    </w:p>
    <w:p w:rsidR="00B46415" w:rsidRDefault="00B46415" w:rsidP="00B46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Criteria and indicators for study proramme evaluation and accreditation in Azerbaijan</w:t>
      </w:r>
    </w:p>
    <w:p w:rsidR="00B46415" w:rsidRPr="002B4C3F" w:rsidRDefault="00B46415" w:rsidP="00B4641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-431" w:type="dxa"/>
        <w:tblLook w:val="04A0" w:firstRow="1" w:lastRow="0" w:firstColumn="1" w:lastColumn="0" w:noHBand="0" w:noVBand="1"/>
      </w:tblPr>
      <w:tblGrid>
        <w:gridCol w:w="6091"/>
        <w:gridCol w:w="8788"/>
      </w:tblGrid>
      <w:tr w:rsidR="00B46415" w:rsidRPr="0012286D" w:rsidTr="00523A71">
        <w:tc>
          <w:tcPr>
            <w:tcW w:w="6091" w:type="dxa"/>
            <w:shd w:val="clear" w:color="auto" w:fill="BFBFBF" w:themeFill="background1" w:themeFillShade="BF"/>
          </w:tcPr>
          <w:p w:rsidR="00B46415" w:rsidRPr="0012286D" w:rsidRDefault="00B46415" w:rsidP="00523A7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8788" w:type="dxa"/>
            <w:shd w:val="clear" w:color="auto" w:fill="BFBFBF" w:themeFill="background1" w:themeFillShade="BF"/>
          </w:tcPr>
          <w:p w:rsidR="00B46415" w:rsidRPr="0012286D" w:rsidRDefault="00B46415" w:rsidP="00523A7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Indicators and information to be presented ir SER</w:t>
            </w:r>
          </w:p>
        </w:tc>
      </w:tr>
      <w:tr w:rsidR="00B46415" w:rsidTr="00523A71">
        <w:tc>
          <w:tcPr>
            <w:tcW w:w="14879" w:type="dxa"/>
            <w:gridSpan w:val="2"/>
          </w:tcPr>
          <w:p w:rsidR="00B46415" w:rsidRPr="0012286D" w:rsidRDefault="00B46415" w:rsidP="00B4641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Programme aims and learning outcomes</w:t>
            </w:r>
          </w:p>
        </w:tc>
      </w:tr>
      <w:tr w:rsidR="00B46415" w:rsidTr="00523A71">
        <w:tc>
          <w:tcPr>
            <w:tcW w:w="6091" w:type="dxa"/>
          </w:tcPr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programme aims and learning outcomes are well defined, clear and publicly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accessible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programme aims and learning outcomes are based on the academic and/or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 requirements, public needs and the needs of the labour market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programme aims and learning outcomes are consistent with the type and level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 and the level of qualifications offered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name of the programme, its learning outcomes, content and the qualifications offered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compatible with each 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other.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Learning outcomes of the programme correlate with the strategy of the HEI and regional context. 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 Opportunities for further education and employment are brought to the attention of students and other stakeholders.</w:t>
            </w:r>
          </w:p>
          <w:p w:rsidR="00B46415" w:rsidRPr="00F60F6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B46415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Formulation of</w:t>
            </w: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aims and learning outcomes of the programme.</w:t>
            </w:r>
          </w:p>
          <w:p w:rsidR="00B46415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gramStart"/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</w:t>
            </w:r>
            <w:proofErr w:type="gramEnd"/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aims and learning outcomes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known by students and other stakeholders.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P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ublic resources (information publications, websites, etc.) containing the description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programme aims and learning outcomes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the regularity of evaluation of learning outcomes and the involvement of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Stakeholders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ompliance with legal acts and other documents establishing academic or professional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proofErr w:type="gramEnd"/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recommendations for the qualifications of specialists trained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esearch findings in the respective area of professional practice to support the validity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intended learning outcomes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learning outcomes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linked to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professional activity areas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which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graduates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trained under the programme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6415" w:rsidTr="00523A71">
        <w:tc>
          <w:tcPr>
            <w:tcW w:w="14879" w:type="dxa"/>
            <w:gridSpan w:val="2"/>
          </w:tcPr>
          <w:p w:rsidR="00B46415" w:rsidRPr="0012286D" w:rsidRDefault="00B46415" w:rsidP="00B46415">
            <w:pPr>
              <w:pStyle w:val="a4"/>
              <w:numPr>
                <w:ilvl w:val="0"/>
                <w:numId w:val="4"/>
              </w:numPr>
              <w:tabs>
                <w:tab w:val="left" w:pos="6336"/>
                <w:tab w:val="center" w:pos="733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Curriculum design</w:t>
            </w:r>
          </w:p>
        </w:tc>
      </w:tr>
      <w:tr w:rsidR="00B46415" w:rsidTr="00523A71">
        <w:tc>
          <w:tcPr>
            <w:tcW w:w="6091" w:type="dxa"/>
          </w:tcPr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curriculum design meets legal requirements;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study subjects and/or modules are spread evenly, their themes are not repetitive;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content of the subjects and/or modules is consistent with the type and level of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content of the subjects/modules are appropriate for the 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achievement of the intended learning outcomes;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methods of the subjects/modules are innovative and support the achievement of the intended learning outcomes;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he scope of the programme is sufficient to ensure 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learning outcomes;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content of the programme reflects the latest achievements in science, art and technologies.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 Internship is appropriate for achievement of learning outcomes.</w:t>
            </w:r>
          </w:p>
          <w:p w:rsidR="00B46415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9. Different pathways for students </w:t>
            </w:r>
            <w:proofErr w:type="gramStart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exists</w:t>
            </w:r>
            <w:proofErr w:type="gramEnd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in the programme.</w:t>
            </w:r>
          </w:p>
          <w:p w:rsidR="00B46415" w:rsidRPr="00880C64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study plan;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escriptions of the subjects taught and/or modules.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logic of the programme (relationship between the learning outcomes of the programme, 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learning outcomes of subjects/modules and study methods);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equirements for bachelor’s and </w:t>
            </w:r>
            <w:proofErr w:type="gramStart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master’s</w:t>
            </w:r>
            <w:proofErr w:type="gramEnd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final thesis.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The link between learning and research is demonstrated through different elements according to the level of studies (e.g. laboratory project or internship, seminars, etc.). 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There </w:t>
            </w:r>
            <w:proofErr w:type="gramStart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exists optional modules</w:t>
            </w:r>
            <w:proofErr w:type="gramEnd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enabling students to adapt their study programme to their personal professional project. 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The study programme recognises the engagement of student within the university or outside it.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7. 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Innovative pedagogical methods are used (for ex., project-based learning, serious games, active amphitheaters, use of IT technologies). </w:t>
            </w:r>
          </w:p>
          <w:p w:rsidR="00B46415" w:rsidRPr="0026246F" w:rsidRDefault="00B46415" w:rsidP="00523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 The awarding of ECTS credits is explained and comply with ECTS users’ guide 2015.</w:t>
            </w:r>
          </w:p>
        </w:tc>
      </w:tr>
      <w:tr w:rsidR="00B46415" w:rsidTr="00523A71">
        <w:tc>
          <w:tcPr>
            <w:tcW w:w="14879" w:type="dxa"/>
            <w:gridSpan w:val="2"/>
          </w:tcPr>
          <w:p w:rsidR="00B46415" w:rsidRPr="0012286D" w:rsidRDefault="00B46415" w:rsidP="00B4641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Teaching staff</w:t>
            </w:r>
          </w:p>
        </w:tc>
      </w:tr>
      <w:tr w:rsidR="00B46415" w:rsidTr="00523A71">
        <w:tc>
          <w:tcPr>
            <w:tcW w:w="6091" w:type="dxa"/>
          </w:tcPr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study programme is provided by the staff meeting legal requirements;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qualifications of the teaching staff are adequate to ensure learning outcomes;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number of the teaching staff is adequate to ensure learning outcomes;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eaching staff turnover is able to ensure an adequate provision of the programme;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higher education institution creates conditions for the professional development of the teaching staff necessary for the provision of the programme;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teaching staff of the programme is involved in research (art) directly related to the study programme being reviewed.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ecruitment of teaching staff is fair and transparent, taking into account the link between teaching and research.</w:t>
            </w:r>
          </w:p>
        </w:tc>
        <w:tc>
          <w:tcPr>
            <w:tcW w:w="8788" w:type="dxa"/>
          </w:tcPr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list of the teaching staff complete with information on each member’s academic rank and scientific degree (if any); teaching experience; research interests; subjects taught; practical work experience in the area of the subjects taught;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escription of each member’s activities;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nformation on the teaching staff’s involvement in applied research, projects and research (artistic) activities directly related to the study programme being evaluated;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tudent/teacher ratio in the provision of the study programme;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ata on the teaching staff mobility (incoming/outgoing teaching staff ratio).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ecruitment procedure and requirements. 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ourses for newly involved staff members have training on pedagogical skills.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 Percentage of teaching staff working in HEI on full time basis.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9. The teaching staff is clearly identified and known to students in advance. 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10.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ata to prove compliance of the staff composition with legal requirements;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ata on the teaching staff turnover;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ata on the participation of the teaching staff in scientific conferences, wo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kshops,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exchange</w:t>
            </w:r>
            <w:proofErr w:type="gramEnd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programmes, long-term visits, etc.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ethods of professional (educational, scientific, practical) development of the staff;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rofessional development areas and statistics of participation;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 profile of the academic staff;</w:t>
            </w:r>
          </w:p>
          <w:p w:rsidR="00B46415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orkload of the academic staff (in the provision of the programme under evaluation and other programmes; time allocated for research and/or other (professional) activities, etc.).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46415" w:rsidTr="00523A71">
        <w:tc>
          <w:tcPr>
            <w:tcW w:w="14879" w:type="dxa"/>
            <w:gridSpan w:val="2"/>
          </w:tcPr>
          <w:p w:rsidR="00B46415" w:rsidRPr="0012286D" w:rsidRDefault="00B46415" w:rsidP="00B4641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Facilities and learning resources</w:t>
            </w:r>
          </w:p>
        </w:tc>
      </w:tr>
      <w:tr w:rsidR="00B46415" w:rsidTr="00523A71">
        <w:tc>
          <w:tcPr>
            <w:tcW w:w="6091" w:type="dxa"/>
          </w:tcPr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premises for studies are adequate both in their size and quality;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teaching and learning equipment (laboratory and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computer equipment, consumables)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adequate both in size and quality;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higher education institution has adequate arrangements for students’ practice;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eaching materials (textbooks, books, periodical publications, databases) are adequate and accessible.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 Financing of the programme is appropriate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the facilities used for the delivery of the programme and their capacity;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the equipment used for the delivery of the programme;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the facilities used for students’ practice;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ata on the teaching/learning materials available at the institution’s library, reading rooms and subject rooms; access to e-publications, etc.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Finance allocated for programme provision. 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Information on the updating and upgrading of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learning resources.</w:t>
            </w:r>
          </w:p>
        </w:tc>
      </w:tr>
      <w:tr w:rsidR="00B46415" w:rsidTr="00523A71">
        <w:tc>
          <w:tcPr>
            <w:tcW w:w="14879" w:type="dxa"/>
            <w:gridSpan w:val="2"/>
          </w:tcPr>
          <w:p w:rsidR="00B46415" w:rsidRPr="0012286D" w:rsidRDefault="00B46415" w:rsidP="00B4641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Study process and students’ performance assessment</w:t>
            </w:r>
          </w:p>
        </w:tc>
      </w:tr>
      <w:tr w:rsidR="00B46415" w:rsidTr="00523A71">
        <w:tc>
          <w:tcPr>
            <w:tcW w:w="6091" w:type="dxa"/>
          </w:tcPr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rogramme delivery ensures student-centered learning approach encouraging students to take an active role in creating the learning process.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organisation of the study process ensures an adequate provision of the programme and the achievement of the learning outcomes;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tudents are encouraged to participate in research, artistic and applied research activities;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tudents have opportunities to participate in student mobility programmes;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assessment system of students’ performance is clear, adequate and publicly available;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rofessional activities of the majority of graduates </w:t>
            </w:r>
            <w:proofErr w:type="gramStart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meets</w:t>
            </w:r>
            <w:proofErr w:type="gramEnd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the programme providers' expectations.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7. The study programme has a capacity to offer training to students with particular needs.</w:t>
            </w:r>
          </w:p>
          <w:p w:rsidR="00B46415" w:rsidRPr="00880C64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8. The study programme has taken into account the life-long learning training.</w:t>
            </w:r>
          </w:p>
        </w:tc>
        <w:tc>
          <w:tcPr>
            <w:tcW w:w="8788" w:type="dxa"/>
          </w:tcPr>
          <w:p w:rsidR="00B46415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Average cut-off marks;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tudent retention ratio;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xtent and forms of student participation in research, art and applied research activities;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orms of student support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including support for foreign students (academic (e.g. tutors, referent teacher etc.), financial (grants, stipends, etc.), social support (psychologist, sports, cultural events, dormitories, etc.))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 and methods for s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tudent performance assessment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in place and known by students in advance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46415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 of the master’s final thesis for the past two years with the indication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subject, supervisor and assessment of the project.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ays in which different needs of students are taken in to account (e.g. adaptation of curricula to working students, adaptation of facilities to disabled students, etc.).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rocedure of recognition of prior learning (incl. non-formal, informal learning) and number of cases.</w:t>
            </w:r>
          </w:p>
          <w:p w:rsidR="00B46415" w:rsidRPr="00205F4D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05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 The study programme offers the moments of learning in at least one foreign language (foreign language subject or a subject(s) which is taught in foreign language).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admission to the study programme: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.1. the number of applications for admission;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.2. the number of admissions;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.3. the highest and lowest admission marks;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the students’ progress (examination marks) by linking this information to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admission marks and attrition (drop-out) rates;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ata 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drop-out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rates (by each year);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auses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drop-out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roportion of students’ time allocated to contact hours, practice and independent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work;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umber of students participating in mobility programmes (by indicating the number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outgoing and incoming exchange students pursuing studies under the programme);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tatistical data on students completing their studies and the need for specialists trained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 the study programme (reference to the source of information on the need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specialists must be provided);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the time needed for specialists fresh from a higher education institution to find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permanent employment in the labour market;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the employment of graduates who obtained qualifications under the evaluated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programme (employment (any) and employment according to the specialist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qualifications) (including those who were in employment before leaving higher</w:t>
            </w:r>
          </w:p>
          <w:p w:rsidR="00B46415" w:rsidRPr="008C54E7" w:rsidRDefault="00B46415" w:rsidP="00523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are public and available to students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ethods and strategies applied to tackle the problem of plagiarism and cheating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intolerance of any kind of discrimination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B46415" w:rsidRDefault="00B46415" w:rsidP="00523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pportunities for selecting optional subjects and/or modules according to need.</w:t>
            </w:r>
          </w:p>
          <w:p w:rsidR="00B46415" w:rsidRPr="008C54E7" w:rsidRDefault="00B46415" w:rsidP="00523A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6415" w:rsidTr="00523A71">
        <w:tc>
          <w:tcPr>
            <w:tcW w:w="14879" w:type="dxa"/>
            <w:gridSpan w:val="2"/>
          </w:tcPr>
          <w:p w:rsidR="00B46415" w:rsidRPr="0012286D" w:rsidRDefault="00B46415" w:rsidP="00B4641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Programme management</w:t>
            </w:r>
          </w:p>
        </w:tc>
      </w:tr>
      <w:tr w:rsidR="00B46415" w:rsidTr="00523A71">
        <w:tc>
          <w:tcPr>
            <w:tcW w:w="6091" w:type="dxa"/>
          </w:tcPr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esponsibilities for decisions and monitoring of the implementation of the programme are clearly allocated;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nformation and data on the implementation of the programme are regularly collected and analysed;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outcomes of internal and external evaluations of the programme are used for the improvement of the programme;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evaluation and improvement processes involve stakeholders;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internal quality assurance measures are effective and 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efficient.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 Programme position in the study field among other similar programmes provided in the same and other HEI’s.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he higher education institution ensures an adequate level of academic and social support;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8. HEI has procedure for dealing with student complaints and appeals. 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 The study programme has identified its partnerships with other institutions.</w:t>
            </w:r>
          </w:p>
          <w:p w:rsidR="00B46415" w:rsidRPr="00E21059" w:rsidRDefault="00B46415" w:rsidP="00523A71">
            <w:pPr>
              <w:pStyle w:val="5-POINTSFORTSETFAIBLES"/>
              <w:spacing w:before="12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 Programme management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decision-taking procedures;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ays (means) to ensure the quality of the programme;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ummary of the 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evaluation of the programme (if any) (up to two pages; could be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provided</w:t>
            </w:r>
            <w:proofErr w:type="gramEnd"/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as an annex to the self-evaluation report) including level of implementation of experts’ recommendations in previous evaluation.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 Programme steering council including all stakeholders is in place and meets regularly.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ocuments defining procedure for complaints and appeals.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6. Statistics on complaints and appeals, reasons and outcomes. 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7. Partnership agreements with other institutions. </w:t>
            </w:r>
          </w:p>
          <w:p w:rsidR="00B46415" w:rsidRPr="00E21059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ustification on how the programme fits among the other programmes of the same study field provided by the higher education institution and other HEIs in the region.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ocuments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defining the responsibilities of the programme providers;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pinion of the programme’s administrative and teaching staff on the distribution of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responsibilities;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ocuments regulating internal quality assurance within the higher education </w:t>
            </w:r>
            <w:r w:rsidRPr="00E2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 (e.g. quality policy);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information accumulation and analysis for the past 5 years. Where the programme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has been provided for a shorter period than that, the report should present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data on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entire period of its existence;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 on the involvement of stakeholders in the process of programme evaluation and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improvement and their impact on the improvement of the programme;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ays of making the process and outcomes of programme evaluation and improvement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accessible to the institution’s (faculty’s) community and social partners and the impact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 publicity;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eedback from the teaching staff, alumni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employers and </w:t>
            </w:r>
            <w:r w:rsidRPr="009E049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especially students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the provision of the programme;</w:t>
            </w:r>
          </w:p>
          <w:p w:rsidR="00B46415" w:rsidRPr="008C54E7" w:rsidRDefault="00B46415" w:rsidP="0052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ources of information on the quality of studies;</w:t>
            </w:r>
          </w:p>
          <w:p w:rsidR="00B46415" w:rsidRPr="00E21059" w:rsidRDefault="00B46415" w:rsidP="00523A7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ost important changes triggered by the latest evaluation outcomes.</w:t>
            </w:r>
          </w:p>
          <w:p w:rsidR="00B46415" w:rsidRDefault="00B46415" w:rsidP="00523A71">
            <w:pPr>
              <w:pStyle w:val="5-POINTSFORTSETFAIBLES"/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18. The diploma is accompanied by a supplement that specifies the learning outcomes acquired by the student. </w:t>
            </w:r>
          </w:p>
          <w:p w:rsidR="00B46415" w:rsidRPr="005F0AB6" w:rsidRDefault="00B46415" w:rsidP="00523A71">
            <w:pPr>
              <w:pStyle w:val="5-POINTSFORTSETFAIBLES"/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B46415" w:rsidRDefault="00B46415" w:rsidP="00B46415">
      <w:bookmarkStart w:id="0" w:name="_GoBack"/>
      <w:bookmarkEnd w:id="0"/>
    </w:p>
    <w:p w:rsidR="00B46415" w:rsidRPr="00B46415" w:rsidRDefault="00B46415" w:rsidP="006E4F40">
      <w:pPr>
        <w:tabs>
          <w:tab w:val="left" w:pos="6379"/>
        </w:tabs>
        <w:spacing w:after="0" w:line="240" w:lineRule="auto"/>
        <w:ind w:left="389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46415" w:rsidRDefault="00B46415" w:rsidP="006E4F40">
      <w:pPr>
        <w:tabs>
          <w:tab w:val="left" w:pos="6379"/>
        </w:tabs>
        <w:spacing w:after="0" w:line="240" w:lineRule="auto"/>
        <w:ind w:left="3890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2286D" w:rsidRPr="0012286D" w:rsidRDefault="0069036D" w:rsidP="006E4F40">
      <w:pPr>
        <w:tabs>
          <w:tab w:val="left" w:pos="6379"/>
        </w:tabs>
        <w:spacing w:after="0" w:line="240" w:lineRule="auto"/>
        <w:ind w:left="389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2286D">
        <w:rPr>
          <w:rFonts w:ascii="Times New Roman" w:hAnsi="Times New Roman" w:cs="Times New Roman"/>
          <w:b/>
          <w:i/>
          <w:sz w:val="28"/>
          <w:szCs w:val="28"/>
          <w:lang w:val="en-US"/>
        </w:rPr>
        <w:t>3.1 saylı Fəaliyyət çərçivəsindən həyata keçirilən missiyanın hesabatına</w:t>
      </w:r>
    </w:p>
    <w:p w:rsidR="0012286D" w:rsidRPr="0012286D" w:rsidRDefault="0069036D" w:rsidP="0012286D">
      <w:pPr>
        <w:spacing w:after="0" w:line="240" w:lineRule="auto"/>
        <w:ind w:left="389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E4F40">
        <w:rPr>
          <w:rFonts w:ascii="Times New Roman" w:hAnsi="Times New Roman" w:cs="Times New Roman"/>
          <w:b/>
          <w:i/>
          <w:sz w:val="28"/>
          <w:szCs w:val="28"/>
        </w:rPr>
        <w:t xml:space="preserve">ƏLAVƏ 1 </w:t>
      </w:r>
    </w:p>
    <w:p w:rsidR="0012286D" w:rsidRDefault="002279F8">
      <w:pPr>
        <w:rPr>
          <w:rFonts w:ascii="Times New Roman" w:hAnsi="Times New Roman" w:cs="Times New Roman"/>
          <w:b/>
          <w:sz w:val="28"/>
          <w:szCs w:val="28"/>
        </w:rPr>
      </w:pPr>
    </w:p>
    <w:p w:rsidR="003331CD" w:rsidRDefault="0069036D" w:rsidP="001228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F40">
        <w:rPr>
          <w:rFonts w:ascii="Times New Roman" w:hAnsi="Times New Roman" w:cs="Times New Roman"/>
          <w:b/>
          <w:sz w:val="28"/>
          <w:szCs w:val="28"/>
        </w:rPr>
        <w:t>Azərbaycanda təhsil proqramlarının qiymətləndirilməsi və akkreditasiyası üzrə meyarlar və göstəricilər</w:t>
      </w:r>
    </w:p>
    <w:p w:rsidR="00FF178A" w:rsidRPr="002B4C3F" w:rsidRDefault="002279F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79" w:type="dxa"/>
        <w:tblInd w:w="-431" w:type="dxa"/>
        <w:tblLook w:val="04A0" w:firstRow="1" w:lastRow="0" w:firstColumn="1" w:lastColumn="0" w:noHBand="0" w:noVBand="1"/>
      </w:tblPr>
      <w:tblGrid>
        <w:gridCol w:w="6091"/>
        <w:gridCol w:w="8788"/>
      </w:tblGrid>
      <w:tr w:rsidR="00806262" w:rsidTr="008C54E7">
        <w:tc>
          <w:tcPr>
            <w:tcW w:w="6091" w:type="dxa"/>
            <w:shd w:val="clear" w:color="auto" w:fill="BFBFBF" w:themeFill="background1" w:themeFillShade="BF"/>
          </w:tcPr>
          <w:p w:rsidR="007C16AA" w:rsidRPr="0012286D" w:rsidRDefault="006903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Qiymətləndirmə meyarları</w:t>
            </w:r>
          </w:p>
        </w:tc>
        <w:tc>
          <w:tcPr>
            <w:tcW w:w="8788" w:type="dxa"/>
            <w:shd w:val="clear" w:color="auto" w:fill="BFBFBF" w:themeFill="background1" w:themeFillShade="BF"/>
          </w:tcPr>
          <w:p w:rsidR="007C16AA" w:rsidRPr="0012286D" w:rsidRDefault="006903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Özünütəhlil hesabatında təqdim olunmalı göstəricilər və məlumat</w:t>
            </w:r>
          </w:p>
        </w:tc>
      </w:tr>
      <w:tr w:rsidR="00806262" w:rsidTr="008C54E7">
        <w:tc>
          <w:tcPr>
            <w:tcW w:w="14879" w:type="dxa"/>
            <w:gridSpan w:val="2"/>
          </w:tcPr>
          <w:p w:rsidR="007C16AA" w:rsidRPr="006E4F40" w:rsidRDefault="0069036D" w:rsidP="001228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4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Proqramın hədəfləri və təlim nəticələri</w:t>
            </w:r>
          </w:p>
        </w:tc>
      </w:tr>
      <w:tr w:rsidR="00806262" w:rsidTr="008C54E7">
        <w:tc>
          <w:tcPr>
            <w:tcW w:w="6091" w:type="dxa"/>
          </w:tcPr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1. Proqramın hədəfləri və təlim nəticələri yaxşı və aydın müəyyənləşdirilib və</w:t>
            </w:r>
            <w:r w:rsidR="00BE242A">
              <w:rPr>
                <w:rFonts w:ascii="Times New Roman" w:hAnsi="Times New Roman" w:cs="Times New Roman"/>
                <w:sz w:val="24"/>
                <w:szCs w:val="24"/>
              </w:rPr>
              <w:t xml:space="preserve"> bu m</w:t>
            </w:r>
            <w:r w:rsidR="00BE242A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əlumat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 ictimaiyyətə açıqdır.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2. Proqramın hədəfləri və təlim nəticələri akademik və/və ya peşəkar tələblərə, ictimaiyyətin və əmək bazarının ehtiyaclarına əsaslanır.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3. Proqramın hədəfləri və təlim nəticələri təhsilin formasına və səviyyəsinə, eləcə də kvalifikasiya səviyyəsinə uyğundur. </w:t>
            </w:r>
          </w:p>
          <w:p w:rsidR="007C16AA" w:rsidRPr="006E4F40" w:rsidRDefault="0069036D" w:rsidP="008C54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4. Proqramın adı, təlim nəticələri, məzmunu və kvalifikasiyalar bir-birinə uyğundur. </w:t>
            </w:r>
          </w:p>
          <w:p w:rsidR="00F60F69" w:rsidRPr="006E4F40" w:rsidRDefault="0069036D" w:rsidP="00F60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Proqramın təlim nəticələri ATM-in strategiyası və regional kontekstlə əlaqəlidir.  </w:t>
            </w:r>
          </w:p>
          <w:p w:rsidR="00570CA0" w:rsidRPr="006E4F40" w:rsidRDefault="0069036D" w:rsidP="00F60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Əlavə təhsil və məşğulluq imkanları tələbələrin və digər maraqlı tərəflərin nəzərinə çatdırılır. </w:t>
            </w:r>
          </w:p>
          <w:p w:rsidR="00F60F69" w:rsidRPr="006E4F40" w:rsidRDefault="002279F8" w:rsidP="00F60F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</w:tcPr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Proqramın hədəflərinin və təlim nəticələrinin formalaşdırılması. </w:t>
            </w:r>
          </w:p>
          <w:p w:rsidR="00570CA0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2. Tələbələr və digər maraqlı tərəflər proqramın hədəfləri və təlim nəticələri barədə məlumatlıdırlar. </w:t>
            </w:r>
          </w:p>
          <w:p w:rsidR="001861F0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3. Proqramın hədəfləri və təlim nəticələ</w:t>
            </w:r>
            <w:r w:rsidR="00BE242A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 tə</w:t>
            </w:r>
            <w:r w:rsidR="00BE242A">
              <w:rPr>
                <w:rFonts w:ascii="Times New Roman" w:hAnsi="Times New Roman" w:cs="Times New Roman"/>
                <w:sz w:val="24"/>
                <w:szCs w:val="24"/>
              </w:rPr>
              <w:t>svir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42A">
              <w:rPr>
                <w:rFonts w:ascii="Times New Roman" w:hAnsi="Times New Roman" w:cs="Times New Roman"/>
                <w:sz w:val="24"/>
                <w:szCs w:val="24"/>
              </w:rPr>
              <w:t>edilən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 ictimai resurslar (məlumatlandırıcı nəşrlər, veb səhifələr və s.). </w:t>
            </w:r>
          </w:p>
          <w:p w:rsidR="00E03328" w:rsidRPr="00D8150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4. Təlim nəticələrini</w:t>
            </w:r>
            <w:r w:rsidR="00E0332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 qiymətləndirilməsi və maraqlı tərəflərin iştirakının müntəzəmliyinə dair məlumatlar.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5. Hazırlanan mütəxəssislərin kvalifikasiyaları üzrə akademik, yaxud peşə tələbləri, yaxud tövsiyələri müəyyənləşdirən hüquqi aktlar və digər sənədlərə </w:t>
            </w:r>
            <w:r w:rsidR="00D81500">
              <w:rPr>
                <w:rFonts w:ascii="Times New Roman" w:hAnsi="Times New Roman" w:cs="Times New Roman"/>
                <w:sz w:val="24"/>
                <w:szCs w:val="24"/>
              </w:rPr>
              <w:t>riayət etmə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Gözlənilən təlim nəticələrinin etibarlılığını dəstəkləmək məqsədi ilə müvafiq peşə sahəsi üzrə elmi-tədqiqatların nəticələri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7. Təlim nəticələri məzunların proqram çərçivəsində hazırlandığı peşə fəaliyyəti sahələri ilə əlaqələndirilib. </w:t>
            </w:r>
          </w:p>
          <w:p w:rsidR="00F60F69" w:rsidRPr="006E4F40" w:rsidRDefault="002279F8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262" w:rsidTr="008C54E7">
        <w:tc>
          <w:tcPr>
            <w:tcW w:w="14879" w:type="dxa"/>
            <w:gridSpan w:val="2"/>
          </w:tcPr>
          <w:p w:rsidR="007C16AA" w:rsidRPr="0012286D" w:rsidRDefault="0069036D" w:rsidP="0012286D">
            <w:pPr>
              <w:pStyle w:val="a4"/>
              <w:numPr>
                <w:ilvl w:val="0"/>
                <w:numId w:val="4"/>
              </w:numPr>
              <w:tabs>
                <w:tab w:val="left" w:pos="6336"/>
                <w:tab w:val="center" w:pos="7331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Kurikulumun hazırlanması</w:t>
            </w:r>
          </w:p>
        </w:tc>
      </w:tr>
      <w:tr w:rsidR="00806262" w:rsidTr="008C54E7">
        <w:tc>
          <w:tcPr>
            <w:tcW w:w="6091" w:type="dxa"/>
          </w:tcPr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1. Kurikulumun hazıranması hüquqi tələblərə cavab verir;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2. Fənlər və/yaxud modullar bərabər paylanılıb və onların mövzuları bir-birini təkrarlamır;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3. Fənlərin və/yaxud modulların məzmunu təhsilin forması və səviyyəsinə uyğundur;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4. Fənlərin və/yaxud modulların məzmunu gözlənilən təlim nəticələrinin əldə </w:t>
            </w:r>
            <w:r w:rsidR="00D81500">
              <w:rPr>
                <w:rFonts w:ascii="Times New Roman" w:hAnsi="Times New Roman" w:cs="Times New Roman"/>
                <w:sz w:val="24"/>
                <w:szCs w:val="24"/>
              </w:rPr>
              <w:t>edilməsi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 üçün </w:t>
            </w:r>
            <w:r w:rsidR="00D81500">
              <w:rPr>
                <w:rFonts w:ascii="Times New Roman" w:hAnsi="Times New Roman" w:cs="Times New Roman"/>
                <w:sz w:val="24"/>
                <w:szCs w:val="24"/>
              </w:rPr>
              <w:t>münasibdir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74C30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Fənlərin/modulların tədris metodları innovativdir və gözlənilən təlim nəticələrinin əldə edilməsini dəstəkləyir;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Proqramın əhatəsi təlim nəticələrinin əldə edilməsini təmin etmək üçün yetərlidir;</w:t>
            </w:r>
          </w:p>
          <w:p w:rsidR="007C16AA" w:rsidRPr="006E4F40" w:rsidRDefault="0069036D" w:rsidP="00DA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Proqramın məzmunu elm, incəsənət və texnologiya sahəsindəki ən son yenilikləri əks etdirir. </w:t>
            </w:r>
          </w:p>
          <w:p w:rsidR="005C0F6B" w:rsidRPr="006E4F40" w:rsidRDefault="0069036D" w:rsidP="00736B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Praktika təlim nəticələrinin əldə edilməsini dəstəkləyir.</w:t>
            </w:r>
          </w:p>
          <w:p w:rsidR="00880C64" w:rsidRPr="006E4F40" w:rsidRDefault="0069036D" w:rsidP="00880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Proqramda tələbələr üçün müxtəlik imkanlar mövcuddur. </w:t>
            </w:r>
          </w:p>
          <w:p w:rsidR="002B4C3F" w:rsidRPr="006E4F40" w:rsidRDefault="002279F8" w:rsidP="00880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788" w:type="dxa"/>
          </w:tcPr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1. Təhsil planı: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2. Tədris edilən fənlərin və/yaxud modulların təsviri.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3. Proqramın məntiqi (Proqramın təlim nəticələri, fənlərin/modulların tə</w:t>
            </w:r>
            <w:r w:rsidR="00D81500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m nəticələri və təhsil metodları); </w:t>
            </w:r>
          </w:p>
          <w:p w:rsidR="007C16AA" w:rsidRPr="006E4F40" w:rsidRDefault="0069036D" w:rsidP="007C1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Bakalavriat və magistraturanın yekun tezisi üzrə tələblər. </w:t>
            </w:r>
          </w:p>
          <w:p w:rsidR="00880C64" w:rsidRPr="006E4F40" w:rsidRDefault="0069036D" w:rsidP="00880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Təlim və tədqiqat arasındakı əl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ə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təhsil səviyyəsinə uyğun olaraq müxtəlif vasitə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lərl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ə nümayiş etdirilir (məs., laboratoriya layihəsi, yaxud praktika, seminarlar və s.) </w:t>
            </w:r>
          </w:p>
          <w:p w:rsidR="005056EC" w:rsidRPr="00E21059" w:rsidRDefault="0069036D" w:rsidP="00880C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Tələbələrə təhsil proqramını şəxsi peşə layihəsinə uyğunlaşdırmağa imkan verən seçmə modullar mövcuddur.  Təhsil proqramı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3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tələbənin universitet daxili və xaricindəki fəaliyyətini tanıyır.  </w:t>
            </w:r>
          </w:p>
          <w:p w:rsidR="00074C30" w:rsidRPr="006E4F40" w:rsidRDefault="0069036D" w:rsidP="00074C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İnnovativ pedaqoji metodlardan istifadə olunur (məsələn, layihələrə əsaslanan təlim, ciddi oyunlar, fəal amfiteatrl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r, İT texnologiyalarından istifadə).  </w:t>
            </w:r>
          </w:p>
          <w:p w:rsidR="0026246F" w:rsidRPr="006E4F40" w:rsidRDefault="0069036D" w:rsidP="00D81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AKTS kreditlə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 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izah edilir və 2015-ci ildə işıq üzü görmüş AKTS əl kitabçasına uyğundur. </w:t>
            </w:r>
          </w:p>
        </w:tc>
      </w:tr>
      <w:tr w:rsidR="00806262" w:rsidTr="008C54E7">
        <w:tc>
          <w:tcPr>
            <w:tcW w:w="14879" w:type="dxa"/>
            <w:gridSpan w:val="2"/>
          </w:tcPr>
          <w:p w:rsidR="007C16AA" w:rsidRPr="0012286D" w:rsidRDefault="0069036D" w:rsidP="001228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Müəllim-professor heyəti</w:t>
            </w:r>
          </w:p>
        </w:tc>
      </w:tr>
      <w:tr w:rsidR="00806262" w:rsidTr="008C54E7">
        <w:tc>
          <w:tcPr>
            <w:tcW w:w="6091" w:type="dxa"/>
          </w:tcPr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Təhsil proqramı hüquqi tələblərə cavab verən müəllim-professor heyəti tərəfindən tədris edilir;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Müəllim-professor heyətinin kvalifikasiyaları təlim nəticələrinin əldə edilməsini təmin etmək üçün münasibdir;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Müəllim-professor heyətinin sayı təlim nəticələrinin əldə edilməsini təmin etmək üçün münasibdir;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Müəllim-professor heyətinin dövriyyəsi proqramın müvafiq surətdə tədrisini təmin edə bilər;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Ali təhsil müəssisəsi professor-müəllim heyətinə proqramın tədrisinə zəruri olan peşəkar inkişaf üçün şərait yaradır; </w:t>
            </w:r>
          </w:p>
          <w:p w:rsidR="007C16AA" w:rsidRPr="006E4F40" w:rsidRDefault="0069036D" w:rsidP="00DA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Proqramın professor-müəllim  heyəti nəzərdən keçirilən 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təhsil proqramı ilə bağlı tədqiqatlarda (incəsənətdə) birbaşa iştirak edir. </w:t>
            </w:r>
          </w:p>
          <w:p w:rsidR="00054316" w:rsidRPr="006E4F40" w:rsidRDefault="0069036D" w:rsidP="00CA5D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Professor-müəllim heyətinin işə qəbulu tədris və tədqiqat fəaliyyəti nəzərə alınaraq ədalətli və şəffaf aparılır. </w:t>
            </w:r>
          </w:p>
        </w:tc>
        <w:tc>
          <w:tcPr>
            <w:tcW w:w="8788" w:type="dxa"/>
          </w:tcPr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Hər bir müəllimin akademik səviyyəsi və elmi dərəcəsi (olduğu təqdirdə)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tədris təcrübəsi, tədris edilən fənlər, tədris olunan fənlər üzrə praktiki iş təcrübəsinə  dair məlumat olan siyahı;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Hər üzvün fəaliyyətinin təsviri;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Professor-müəllim heyətinin qiymətləndirilən təhsil proqramı ilə birbaşa əlaqəli tətbiqi tədqiqatda, layihələrdə və tədqiqat fəaliyyətində (incəsənət) iştirakına dair məlumat;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Təhsil proqramının tədrisində tələbə/müəllim nisbəti;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Professor-müəllim heyətinin mobilliyinə dair məlumatlar (gələn/gedən professor-müəllim heyətinin nisbəti).</w:t>
            </w:r>
          </w:p>
          <w:p w:rsidR="00DD2485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Işəgötürmə proseduru və tələbləri. </w:t>
            </w:r>
          </w:p>
          <w:p w:rsidR="00DD2485" w:rsidRPr="006E4F40" w:rsidRDefault="0069036D" w:rsidP="00DD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İşə yeni cəlb edilən heyət üzvləri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nə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pedaqoji bacarıqlar üzrə təlim kurslar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keçirilir. </w:t>
            </w:r>
          </w:p>
          <w:p w:rsidR="00680F9F" w:rsidRPr="006E4F40" w:rsidRDefault="0069036D" w:rsidP="000E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ATM-də tamştat professor-müəllim heyətin faizi. </w:t>
            </w:r>
          </w:p>
          <w:p w:rsidR="000E1F0A" w:rsidRPr="00E21059" w:rsidRDefault="0069036D" w:rsidP="000E1F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9. Professor-müəllim heyəti öncədən aydın şəkildə müəyyənləşdirilib və </w:t>
            </w:r>
            <w:r w:rsidR="00D8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 məlumat 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tələbələrə çatdırılıb.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Heyətin tərkibinin hüquqi tələblərə uyğunluğunu sübut </w:t>
            </w:r>
            <w:r w:rsidR="001231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edən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məlumatlar;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Professor-müəllim heyətinin dövriyyəsinə dair məlumatlar;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Professor-müəllim heyətinin elmi konfranslarda, seminarlarda, mübadilə proqramlarında, uzunmüddətli səfərlərdə iştirakına dair məlumatlar.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 İşçi heyətin peşəkar (təhsil, elmi, praktiki) inkişafı metodları;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Peşəkar inkişaf sahələri v</w:t>
            </w:r>
            <w:r w:rsidR="00270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ə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iştiraka dair statistika;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 Professor-müəllim heyətinin yaş profili;</w:t>
            </w:r>
          </w:p>
          <w:p w:rsidR="00DD2485" w:rsidRPr="006E4F40" w:rsidRDefault="0069036D" w:rsidP="00DD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16. Professor-müəllim heyətinin iş yükü (qiymətləndirilən və digər proqramlardakı; tədqiqat və/yaxud digər (peşə) fəaliyyətinə ayrılan zaman və s.). </w:t>
            </w:r>
          </w:p>
          <w:p w:rsidR="002B4C3F" w:rsidRPr="006E4F40" w:rsidRDefault="002279F8" w:rsidP="00DD24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6262" w:rsidTr="008C54E7">
        <w:tc>
          <w:tcPr>
            <w:tcW w:w="14879" w:type="dxa"/>
            <w:gridSpan w:val="2"/>
          </w:tcPr>
          <w:p w:rsidR="007C16AA" w:rsidRPr="0012286D" w:rsidRDefault="0069036D" w:rsidP="001228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Resurslar və təlim nəticələri</w:t>
            </w:r>
          </w:p>
        </w:tc>
      </w:tr>
      <w:tr w:rsidR="00806262" w:rsidTr="008C54E7">
        <w:tc>
          <w:tcPr>
            <w:tcW w:w="6091" w:type="dxa"/>
          </w:tcPr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1. Təhsil məkanları həm ölçü, həm də keyfiyyət baxımından münasibdir;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2. Tədris və təlim avadanlığı (laboratoriya və komputer avadanlığı, birdəfəlik istifadə materialları) həm ölçü, həm də keyfiyyət baxımından münasibdir;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3. Ali təhsil müəssisəsi tərəfindən tələbələrin praktikası üçün müvafiq işlər aparılıb;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Tədris materilları (dərsliklər, kitablar, dövri nəşrlər, məlumat bazaları) münasib və əlçatandır. </w:t>
            </w:r>
          </w:p>
          <w:p w:rsidR="00437B6A" w:rsidRPr="00E21059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 Proqramın maliyyələşdirilməsi münasibdir</w:t>
            </w:r>
          </w:p>
          <w:p w:rsidR="00437B6A" w:rsidRPr="008C54E7" w:rsidRDefault="002279F8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8" w:type="dxa"/>
          </w:tcPr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Proqramın tədris ediləcəyi məkan və onların tutumuna dair məlumatlar;</w:t>
            </w:r>
          </w:p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Proqramın tədrisi üçün istifadə ediləcək avadanlığa dair məlumatlar; </w:t>
            </w:r>
          </w:p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Tələbələrin praktikası üçün istifadə olunan məkanlar;</w:t>
            </w:r>
          </w:p>
          <w:p w:rsidR="007C16AA" w:rsidRPr="00E21059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4.  Müəssisənin kitabxanasında mövcud olan tədris/təlim materiallarına, qiraət və dərs otaqlarına, e-nəşrlərə çıxışa və s. dair məlumatlar</w:t>
            </w:r>
          </w:p>
          <w:p w:rsidR="00437B6A" w:rsidRPr="00E21059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5. Proqrama ayrılan maliyyə vəsaiti </w:t>
            </w:r>
          </w:p>
          <w:p w:rsidR="007C16AA" w:rsidRPr="008C54E7" w:rsidRDefault="0069036D" w:rsidP="00E21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1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6. Təlim resurslarının yenilənməsi və yaxşılaşdırılmasına dair məlumatlar</w:t>
            </w:r>
          </w:p>
        </w:tc>
      </w:tr>
      <w:tr w:rsidR="00806262" w:rsidTr="008C54E7">
        <w:tc>
          <w:tcPr>
            <w:tcW w:w="14879" w:type="dxa"/>
            <w:gridSpan w:val="2"/>
          </w:tcPr>
          <w:p w:rsidR="007C16AA" w:rsidRPr="006E4F40" w:rsidRDefault="0069036D" w:rsidP="001228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E4F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Təhsil prosesi və tələbələrin göstəricilərinin qiymətləndirilməsi</w:t>
            </w:r>
          </w:p>
        </w:tc>
      </w:tr>
      <w:tr w:rsidR="00806262" w:rsidTr="008C54E7">
        <w:tc>
          <w:tcPr>
            <w:tcW w:w="6091" w:type="dxa"/>
          </w:tcPr>
          <w:p w:rsidR="00835E75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1.Proqramın tədrisi tələbələri təlim prosesində daha fəal rol oynamağa ruhlandıraraq tələbələrə əsaslanan təlim yanaşması təmin edir.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Təhsil prosesinin təşkili proqramın düzgün tədrisini və təlim nəticələrinin əldə edilməsini təmin edir;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Tələbələr tədqiqat, incəsənət və tətbiqi tədqiqat fəaliyyətlərində iştiraka ruhlandırılır;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Tələbələrin mobillik proqramlarında iştirak etmək imkanları var;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Tələbələrin qiymətləndirilməsi sistemi aydın 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müəyyənləşdirilib, münasibdir və ictimaiyyətə açıq məlumatdır;</w:t>
            </w:r>
          </w:p>
          <w:p w:rsidR="007C16AA" w:rsidRPr="006E4F40" w:rsidRDefault="0069036D" w:rsidP="00DA21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Məzunların əksəriyyətinin peşəkar fəaliyyəti təhsilverənlərin gözləntilərini qarşılayır.</w:t>
            </w:r>
          </w:p>
          <w:p w:rsidR="00880C64" w:rsidRPr="006E4F40" w:rsidRDefault="0069036D" w:rsidP="00880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Təhsil proqramı çərçivəsində xüsusi ehtiyacı olan tələbələrə təhsil vermək imkanı var.</w:t>
            </w:r>
          </w:p>
          <w:p w:rsidR="00827E3B" w:rsidRPr="006E4F40" w:rsidRDefault="0069036D" w:rsidP="00880C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Təhsil proqramında ömür boyu təhsil nəzərə alınmışdır.</w:t>
            </w:r>
          </w:p>
        </w:tc>
        <w:tc>
          <w:tcPr>
            <w:tcW w:w="8788" w:type="dxa"/>
          </w:tcPr>
          <w:p w:rsidR="00DA21EF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Ortalama qiymətləri;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2. Tələbələrin ali təhsil müəssisəsini bitirmə faizi; </w:t>
            </w:r>
          </w:p>
          <w:p w:rsidR="007C16AA" w:rsidRPr="006E4F40" w:rsidRDefault="0069036D" w:rsidP="000D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3. Tələbələrin tədqiqat, incəsənət və tətbiqi tədqiqat fəaliyyətlərindən iştirak dərəcəsi və formaları;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4. Tələbələrə dəstək formaları, o cümlədən xarici tələbələrə dəstək (akademik (məsələn, tyutorlar, rəhbər müəllimlər və s.), maliyyə (qrantlar, stipendiyalar və s.), sosial dəstək (psixoloq, idman, mədəni tədbirlər, yataqxanalar və s.));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5. Tələbələrin qiymətləndirilməsi meyarları və metodları mövcuddur və öncədən tələbələrə çatdırılır;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6. Mövzunun, rəhbərin və layihənin qiymətləndirilməsinin göstərilməsi ilə son iki il 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ərzində müdafiə edilmiş magistr tezislərinin siyahısı.</w:t>
            </w:r>
          </w:p>
          <w:p w:rsidR="00880C64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Tələbələrin müxtəlif ehtiyacları hansı yollarla nəzərə alınır (məsələn, kurikulumun işləyən tələbələrə uyğunlaşdırılması, texniki vasitələrin qüsurlu tələbələrə uyğunlaşdırılması və s.).</w:t>
            </w:r>
          </w:p>
          <w:p w:rsidR="00827E3B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Əvvəlki təhsilin (o cümlədən, qeyri-formal, informal təhsilin) tanınması  proseduru və tanınmaların sayı. </w:t>
            </w:r>
          </w:p>
          <w:p w:rsidR="00FF178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 Təhsil proqramında ən azı bir xarici dilin tədrisini nəzərdə tutulur (xarici dil fənni, yaxud xarici dildə tədris olunan fənn(lər)).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10. Təhsil proqramına qəbula dair məlumatlar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10.1. Qəbul üçün müraciətlərin sayı;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10.2. </w:t>
            </w:r>
            <w:r w:rsidR="006E27E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əbulun sayı;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 w:rsidR="00D360E8">
              <w:rPr>
                <w:rFonts w:ascii="Times New Roman" w:hAnsi="Times New Roman" w:cs="Times New Roman"/>
                <w:sz w:val="24"/>
                <w:szCs w:val="24"/>
              </w:rPr>
              <w:t xml:space="preserve"> Ə</w:t>
            </w: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n yüksək və ən aşağı qəbul balı;</w:t>
            </w:r>
          </w:p>
          <w:p w:rsidR="007C16AA" w:rsidRPr="00013808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11. Qəbul balı və universiteti tərketmə səviyyəsinə dair məlumatlarla əlaqələndirilərək tələbələrin nailiyyətlərinə dair məlumatlar (imtahan qiymətləri)</w:t>
            </w:r>
            <w:r w:rsidRPr="000138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Universiteti tərketmə səviyyəsinə dair məlumatlar (illik);</w:t>
            </w:r>
          </w:p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Universiteti tərketmə səbəbləri;</w:t>
            </w:r>
          </w:p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Tələbələrin kontakt saatlarına, praktikaya və müstəqil işə ayrılan vaxtlarının həcmi;</w:t>
            </w:r>
          </w:p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15. Mobillik proqramlarında iştirak edən tələbələrin sayı (proqram çərçivəsində universitetə gələn və xaricə gedən tələbələrin sayı göstərilməklə); </w:t>
            </w:r>
          </w:p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16. Təhsil proqramı çərçivəsində təhsillərini başa vuran tələbələrə və hazırlanan mütəxəssislərə olan ehtiyaca dair statistik məlumatlar (mütəxəssislərə olan ehtiyaca dair məlumatların mənbəyinə istinad edilməlidir); </w:t>
            </w:r>
          </w:p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17. Ali təhsil müəssisəsini yeni bitirimiş mütəxəssislərə əmək bazarında məşğulluq tapmaq üçün zəruri olan vaxt; </w:t>
            </w:r>
          </w:p>
          <w:p w:rsidR="007C16AA" w:rsidRPr="008C54E7" w:rsidRDefault="0069036D" w:rsidP="00013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Qiymətləndirilən təhsil proqramını tamamlayan məzunların məşğulluğuna dair məlumatlar (istənilən məşğulluq və mütəxəssis kvalifikasiyasına uyğun məşğulluq) (o cümlədən ali təhsil müəssisəsindən məzun olmamışdan əvvəl işləyənlər) ictimaiyyətə v</w:t>
            </w:r>
            <w:r w:rsidR="000138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tələbələrə açıqdır</w:t>
            </w: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C16AA" w:rsidRPr="008C54E7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Plagiarizm və saxtakarlıq, eləcə də hər hansı ayrıseçkiliyə qarşı dözümsüzlük məsələləri üçün metodlar və strategiyalar;</w:t>
            </w:r>
          </w:p>
          <w:p w:rsidR="007C16AA" w:rsidRDefault="0069036D" w:rsidP="007C1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20. Ehtiyaca uyğun olaraq seçmə fənlərin və/yaxud modulların seçilməsi imkanları. </w:t>
            </w:r>
          </w:p>
          <w:p w:rsidR="002B4C3F" w:rsidRPr="008C54E7" w:rsidRDefault="002279F8" w:rsidP="007C16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06262" w:rsidTr="008C54E7">
        <w:tc>
          <w:tcPr>
            <w:tcW w:w="14879" w:type="dxa"/>
            <w:gridSpan w:val="2"/>
          </w:tcPr>
          <w:p w:rsidR="007C16AA" w:rsidRPr="0012286D" w:rsidRDefault="0069036D" w:rsidP="0012286D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2286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Proqramın idarəedilməsi</w:t>
            </w:r>
          </w:p>
        </w:tc>
      </w:tr>
      <w:tr w:rsidR="00806262" w:rsidTr="008C54E7">
        <w:tc>
          <w:tcPr>
            <w:tcW w:w="6091" w:type="dxa"/>
          </w:tcPr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1. Proqramın həyata keçirilməsi üzrə qərarlar və monitorinq öhdəlikləri aydın surətdə bölüşdürülüb;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Proqramın icrasına dair məlumatlar müntəzəm olaraq toplanılır və təhlil edilir;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3. Proqramın daxili və xarici qiymətləndirmə nəticələri proqramın yaxşılaşdırılması üçün istifadə olunur;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4. Maraqlı tərəflər qiymətləndirmə və yaxşılaşdırma proseslərinə cəlb olunurlar; </w:t>
            </w:r>
          </w:p>
          <w:p w:rsidR="007C16AA" w:rsidRPr="006E4F40" w:rsidRDefault="0069036D" w:rsidP="007C1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5. Daxili keyfiyyət təminatı tədbirləri effektiv və səmərəlidir. </w:t>
            </w:r>
          </w:p>
          <w:p w:rsidR="006D3B43" w:rsidRPr="006E4F40" w:rsidRDefault="0069036D" w:rsidP="007C1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Həmin sahə üzrə, o cümlədən digər ali təhsil müəssisələrində tədris olunan oxşar proqramlarla müqayisədə proqramın mövqeyi. </w:t>
            </w:r>
          </w:p>
          <w:p w:rsidR="00850685" w:rsidRPr="006E4F40" w:rsidRDefault="0069036D" w:rsidP="008D76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Ali təhsil müəssisəsi müvafiq akademik və sosial dəstək təmin edir;</w:t>
            </w:r>
          </w:p>
          <w:p w:rsidR="008D76FE" w:rsidRPr="006E4F40" w:rsidRDefault="0069036D" w:rsidP="008D76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ATM-də təhsil  şikayətləri və apelyasiya məsələləri üzrə prosedur mövcuddur.  </w:t>
            </w:r>
          </w:p>
          <w:p w:rsidR="005056EC" w:rsidRPr="006E4F40" w:rsidRDefault="0069036D" w:rsidP="008D76F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Təhsil proqramının digər müəssisələrlə tərəfdaşlıqları müyyənləşdirilib. </w:t>
            </w:r>
          </w:p>
          <w:p w:rsidR="009E0494" w:rsidRPr="006E4F40" w:rsidRDefault="002279F8" w:rsidP="00570CA0">
            <w:pPr>
              <w:pStyle w:val="5-POINTSFORTSETFAIBLES"/>
              <w:spacing w:before="12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8788" w:type="dxa"/>
          </w:tcPr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Proqramın idarəedilməsi və qərarvermə prosedurları;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2. Proqramın keyfiyyətini təmin etmək yolları (vasitələri);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Proqramın son qiymətləndirilməsinin (əgər mövcuddursa) icmalı (2 səhifəyədək; özünütəhlil hesabatına əlavə kimi təqdim edilə bilər), o cümlədən ötən qiymətləndirmədəki ekspert tövsiyələrinin icra səviyyəsinə dair məlumatlar</w:t>
            </w: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71BFF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Proqramın bütün maraqlı tərəflərin daxil olduğu rəhbər şurası mövcuddur və müntəzəm görüşlər keçirir.</w:t>
            </w:r>
          </w:p>
          <w:p w:rsidR="009E0494" w:rsidRPr="006E4F40" w:rsidRDefault="0069036D" w:rsidP="009E0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Şikayət və apelyasiya prosedurunu müəyyənləşdirən sənədlər. </w:t>
            </w:r>
          </w:p>
          <w:p w:rsidR="009E0494" w:rsidRPr="006E4F40" w:rsidRDefault="0069036D" w:rsidP="009E0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Şikayətlər, apelyasiyalar, səbəblər və nəticələrə dair statistik məlumatlar; </w:t>
            </w:r>
          </w:p>
          <w:p w:rsidR="005056EC" w:rsidRPr="006E4F40" w:rsidRDefault="0069036D" w:rsidP="009E0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Digər müəssisələrlə tərəfdaşlıq razılaşmaları.  </w:t>
            </w:r>
          </w:p>
          <w:p w:rsidR="00CD1F1B" w:rsidRPr="006E4F40" w:rsidRDefault="0069036D" w:rsidP="00CD1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 Proqramın ali təhsil müəssisəsi və regionun digər ali təhsil müəssisələri tərəfindən həmin təhsil sahəsi üzrə tədris edilən digər proqramlarla müqayisədə rolunun əsaslandırılması.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9. Təhsilverənlərin (proqramı tədris edənlərin) məsuliyyətlərini müəyyənləşdirən sənədlər;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Məsuliyyətlərin proqramın inzibati və professor-müəllim heyəti arasında bölünməsinə dair rəy;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11. Ali təhsil müəssisəsi çərçivəsində daxili keyfiyyət təminatını tənzimləyən sənədlər (məsələn, keyfiyyət siyasəti);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12. Son 5 il ərzində məlumatların toplanılmasına və təhlilinə dair məlumatlar.  Proqram daha az müddəti əhatə etdiyi təqdirdə, hesabatda proqramın mövcud olduğu bütün dövr üçün məlumatlar təqdim edilməlidir;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13. Maraqlı tərəflərin proqramın qiymətləndirilməsi və yaxşılaşdırılmasında iştirakına və onların proqramın yaxşılaşdırılmasına təsirinə dair məlumatlar;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14. Proqramın qiymətləndirilməsi və yaxşılaşdırılması prosesini və nəticələrini müəssisənin (fakultənin) icmasına və sosial tərəfdaşlarına əlçatan edilməsi yolları və bu məlumatların açıqlanmasının təsiri;</w:t>
            </w:r>
          </w:p>
          <w:p w:rsidR="009E0494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 xml:space="preserve">15. Professor-müəllim heyəti, məzunlar, işəgötürənlər və xüsusən tələbələrin proqramın tədrisinə dair rəyi; </w:t>
            </w:r>
          </w:p>
          <w:p w:rsidR="007C16AA" w:rsidRPr="006E4F40" w:rsidRDefault="0069036D" w:rsidP="007C16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sz w:val="24"/>
                <w:szCs w:val="24"/>
              </w:rPr>
              <w:t>16. Təhsilin keyfiyyətinə dair məlumat mənbələri;</w:t>
            </w:r>
          </w:p>
          <w:p w:rsidR="007C16AA" w:rsidRPr="006E4F40" w:rsidRDefault="0069036D" w:rsidP="007C16A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 Ən son qiymətləndirmə nəticələrinin səbəb olduğu ən mühüm dəyişikliklər. </w:t>
            </w:r>
          </w:p>
          <w:p w:rsidR="00F60F69" w:rsidRPr="006E4F40" w:rsidRDefault="0069036D" w:rsidP="005F0AB6">
            <w:pPr>
              <w:pStyle w:val="5-POINTSFORTSETFAIBLES"/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6E4F4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18. </w:t>
            </w:r>
            <w:r w:rsidR="00E3147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T</w:t>
            </w:r>
            <w:r w:rsidRPr="006E4F4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ələbənin əldə etdiyi təlim nəticələrinin qeyd edildiyi </w:t>
            </w:r>
            <w:r w:rsidR="00E3147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d</w:t>
            </w:r>
            <w:r w:rsidR="00E31470" w:rsidRPr="006E4F4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iploma </w:t>
            </w:r>
            <w:r w:rsidRPr="006E4F40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əlavə təqdim edilir.  </w:t>
            </w:r>
          </w:p>
          <w:p w:rsidR="002B4C3F" w:rsidRPr="006E4F40" w:rsidRDefault="002279F8" w:rsidP="005F0AB6">
            <w:pPr>
              <w:pStyle w:val="5-POINTSFORTSETFAIBLES"/>
              <w:spacing w:before="0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:rsidR="007C16AA" w:rsidRDefault="002279F8"/>
    <w:p w:rsidR="005F0AB6" w:rsidRDefault="002279F8"/>
    <w:sectPr w:rsidR="005F0AB6" w:rsidSect="0012286D">
      <w:footerReference w:type="default" r:id="rId9"/>
      <w:pgSz w:w="16838" w:h="11906" w:orient="landscape"/>
      <w:pgMar w:top="85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F8" w:rsidRDefault="002279F8">
      <w:pPr>
        <w:spacing w:after="0" w:line="240" w:lineRule="auto"/>
      </w:pPr>
      <w:r>
        <w:separator/>
      </w:r>
    </w:p>
  </w:endnote>
  <w:endnote w:type="continuationSeparator" w:id="0">
    <w:p w:rsidR="002279F8" w:rsidRDefault="0022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17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286D" w:rsidRDefault="0069036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41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2286D" w:rsidRDefault="002279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F8" w:rsidRDefault="002279F8">
      <w:pPr>
        <w:spacing w:after="0" w:line="240" w:lineRule="auto"/>
      </w:pPr>
      <w:r>
        <w:separator/>
      </w:r>
    </w:p>
  </w:footnote>
  <w:footnote w:type="continuationSeparator" w:id="0">
    <w:p w:rsidR="002279F8" w:rsidRDefault="0022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23F"/>
    <w:multiLevelType w:val="hybridMultilevel"/>
    <w:tmpl w:val="07583434"/>
    <w:lvl w:ilvl="0" w:tplc="140C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40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AE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48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B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04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C2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25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F84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44441"/>
    <w:multiLevelType w:val="hybridMultilevel"/>
    <w:tmpl w:val="06B6C5C4"/>
    <w:lvl w:ilvl="0" w:tplc="882A5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325BF4" w:tentative="1">
      <w:start w:val="1"/>
      <w:numFmt w:val="lowerLetter"/>
      <w:lvlText w:val="%2."/>
      <w:lvlJc w:val="left"/>
      <w:pPr>
        <w:ind w:left="1440" w:hanging="360"/>
      </w:pPr>
    </w:lvl>
    <w:lvl w:ilvl="2" w:tplc="3BA8E9DC" w:tentative="1">
      <w:start w:val="1"/>
      <w:numFmt w:val="lowerRoman"/>
      <w:lvlText w:val="%3."/>
      <w:lvlJc w:val="right"/>
      <w:pPr>
        <w:ind w:left="2160" w:hanging="180"/>
      </w:pPr>
    </w:lvl>
    <w:lvl w:ilvl="3" w:tplc="56FC6B2A" w:tentative="1">
      <w:start w:val="1"/>
      <w:numFmt w:val="decimal"/>
      <w:lvlText w:val="%4."/>
      <w:lvlJc w:val="left"/>
      <w:pPr>
        <w:ind w:left="2880" w:hanging="360"/>
      </w:pPr>
    </w:lvl>
    <w:lvl w:ilvl="4" w:tplc="938E1E12" w:tentative="1">
      <w:start w:val="1"/>
      <w:numFmt w:val="lowerLetter"/>
      <w:lvlText w:val="%5."/>
      <w:lvlJc w:val="left"/>
      <w:pPr>
        <w:ind w:left="3600" w:hanging="360"/>
      </w:pPr>
    </w:lvl>
    <w:lvl w:ilvl="5" w:tplc="1B54D17A" w:tentative="1">
      <w:start w:val="1"/>
      <w:numFmt w:val="lowerRoman"/>
      <w:lvlText w:val="%6."/>
      <w:lvlJc w:val="right"/>
      <w:pPr>
        <w:ind w:left="4320" w:hanging="180"/>
      </w:pPr>
    </w:lvl>
    <w:lvl w:ilvl="6" w:tplc="B0F06CDE" w:tentative="1">
      <w:start w:val="1"/>
      <w:numFmt w:val="decimal"/>
      <w:lvlText w:val="%7."/>
      <w:lvlJc w:val="left"/>
      <w:pPr>
        <w:ind w:left="5040" w:hanging="360"/>
      </w:pPr>
    </w:lvl>
    <w:lvl w:ilvl="7" w:tplc="E0468208" w:tentative="1">
      <w:start w:val="1"/>
      <w:numFmt w:val="lowerLetter"/>
      <w:lvlText w:val="%8."/>
      <w:lvlJc w:val="left"/>
      <w:pPr>
        <w:ind w:left="5760" w:hanging="360"/>
      </w:pPr>
    </w:lvl>
    <w:lvl w:ilvl="8" w:tplc="E3362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34F4"/>
    <w:multiLevelType w:val="hybridMultilevel"/>
    <w:tmpl w:val="721AE238"/>
    <w:lvl w:ilvl="0" w:tplc="DA78BF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444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86C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BAB8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A494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E9C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C4790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4E0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AD4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DBA495C"/>
    <w:multiLevelType w:val="hybridMultilevel"/>
    <w:tmpl w:val="7D826F24"/>
    <w:lvl w:ilvl="0" w:tplc="E2182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3C9DC4" w:tentative="1">
      <w:start w:val="1"/>
      <w:numFmt w:val="lowerLetter"/>
      <w:lvlText w:val="%2."/>
      <w:lvlJc w:val="left"/>
      <w:pPr>
        <w:ind w:left="1440" w:hanging="360"/>
      </w:pPr>
    </w:lvl>
    <w:lvl w:ilvl="2" w:tplc="DE4EF048" w:tentative="1">
      <w:start w:val="1"/>
      <w:numFmt w:val="lowerRoman"/>
      <w:lvlText w:val="%3."/>
      <w:lvlJc w:val="right"/>
      <w:pPr>
        <w:ind w:left="2160" w:hanging="180"/>
      </w:pPr>
    </w:lvl>
    <w:lvl w:ilvl="3" w:tplc="B784B0AC" w:tentative="1">
      <w:start w:val="1"/>
      <w:numFmt w:val="decimal"/>
      <w:lvlText w:val="%4."/>
      <w:lvlJc w:val="left"/>
      <w:pPr>
        <w:ind w:left="2880" w:hanging="360"/>
      </w:pPr>
    </w:lvl>
    <w:lvl w:ilvl="4" w:tplc="22ACA604" w:tentative="1">
      <w:start w:val="1"/>
      <w:numFmt w:val="lowerLetter"/>
      <w:lvlText w:val="%5."/>
      <w:lvlJc w:val="left"/>
      <w:pPr>
        <w:ind w:left="3600" w:hanging="360"/>
      </w:pPr>
    </w:lvl>
    <w:lvl w:ilvl="5" w:tplc="87D68E7E" w:tentative="1">
      <w:start w:val="1"/>
      <w:numFmt w:val="lowerRoman"/>
      <w:lvlText w:val="%6."/>
      <w:lvlJc w:val="right"/>
      <w:pPr>
        <w:ind w:left="4320" w:hanging="180"/>
      </w:pPr>
    </w:lvl>
    <w:lvl w:ilvl="6" w:tplc="0A603F68" w:tentative="1">
      <w:start w:val="1"/>
      <w:numFmt w:val="decimal"/>
      <w:lvlText w:val="%7."/>
      <w:lvlJc w:val="left"/>
      <w:pPr>
        <w:ind w:left="5040" w:hanging="360"/>
      </w:pPr>
    </w:lvl>
    <w:lvl w:ilvl="7" w:tplc="F05CB5D0" w:tentative="1">
      <w:start w:val="1"/>
      <w:numFmt w:val="lowerLetter"/>
      <w:lvlText w:val="%8."/>
      <w:lvlJc w:val="left"/>
      <w:pPr>
        <w:ind w:left="5760" w:hanging="360"/>
      </w:pPr>
    </w:lvl>
    <w:lvl w:ilvl="8" w:tplc="67B87A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62"/>
    <w:rsid w:val="00013808"/>
    <w:rsid w:val="001231E0"/>
    <w:rsid w:val="001533B2"/>
    <w:rsid w:val="0017071F"/>
    <w:rsid w:val="002279F8"/>
    <w:rsid w:val="0027033A"/>
    <w:rsid w:val="003C39F5"/>
    <w:rsid w:val="00410E7A"/>
    <w:rsid w:val="0069036D"/>
    <w:rsid w:val="006E27EA"/>
    <w:rsid w:val="006E4F40"/>
    <w:rsid w:val="00806262"/>
    <w:rsid w:val="00B46415"/>
    <w:rsid w:val="00BE242A"/>
    <w:rsid w:val="00CC29B2"/>
    <w:rsid w:val="00D360E8"/>
    <w:rsid w:val="00D81500"/>
    <w:rsid w:val="00DC345B"/>
    <w:rsid w:val="00E03328"/>
    <w:rsid w:val="00E3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65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C0F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0F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0F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0F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0F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0F6B"/>
    <w:rPr>
      <w:rFonts w:ascii="Segoe UI" w:hAnsi="Segoe UI" w:cs="Segoe UI"/>
      <w:sz w:val="18"/>
      <w:szCs w:val="18"/>
    </w:rPr>
  </w:style>
  <w:style w:type="paragraph" w:customStyle="1" w:styleId="5-POINTSFORTSETFAIBLES">
    <w:name w:val="5-POINTS FORTS ET FAIBLES"/>
    <w:basedOn w:val="a"/>
    <w:qFormat/>
    <w:rsid w:val="00570CA0"/>
    <w:pPr>
      <w:spacing w:before="200" w:after="0" w:line="240" w:lineRule="exact"/>
      <w:jc w:val="both"/>
    </w:pPr>
    <w:rPr>
      <w:rFonts w:ascii="Trebuchet MS" w:eastAsia="Times New Roman" w:hAnsi="Trebuchet MS" w:cs="Times New Roman"/>
      <w:sz w:val="18"/>
      <w:szCs w:val="18"/>
      <w:lang w:val="fr-FR"/>
    </w:rPr>
  </w:style>
  <w:style w:type="paragraph" w:styleId="ac">
    <w:name w:val="header"/>
    <w:basedOn w:val="a"/>
    <w:link w:val="ad"/>
    <w:uiPriority w:val="99"/>
    <w:unhideWhenUsed/>
    <w:rsid w:val="0012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286D"/>
  </w:style>
  <w:style w:type="paragraph" w:styleId="ae">
    <w:name w:val="footer"/>
    <w:basedOn w:val="a"/>
    <w:link w:val="af"/>
    <w:uiPriority w:val="99"/>
    <w:unhideWhenUsed/>
    <w:rsid w:val="0012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2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65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C0F6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C0F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C0F6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C0F6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C0F6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0F6B"/>
    <w:rPr>
      <w:rFonts w:ascii="Segoe UI" w:hAnsi="Segoe UI" w:cs="Segoe UI"/>
      <w:sz w:val="18"/>
      <w:szCs w:val="18"/>
    </w:rPr>
  </w:style>
  <w:style w:type="paragraph" w:customStyle="1" w:styleId="5-POINTSFORTSETFAIBLES">
    <w:name w:val="5-POINTS FORTS ET FAIBLES"/>
    <w:basedOn w:val="a"/>
    <w:qFormat/>
    <w:rsid w:val="00570CA0"/>
    <w:pPr>
      <w:spacing w:before="200" w:after="0" w:line="240" w:lineRule="exact"/>
      <w:jc w:val="both"/>
    </w:pPr>
    <w:rPr>
      <w:rFonts w:ascii="Trebuchet MS" w:eastAsia="Times New Roman" w:hAnsi="Trebuchet MS" w:cs="Times New Roman"/>
      <w:sz w:val="18"/>
      <w:szCs w:val="18"/>
      <w:lang w:val="fr-FR"/>
    </w:rPr>
  </w:style>
  <w:style w:type="paragraph" w:styleId="ac">
    <w:name w:val="header"/>
    <w:basedOn w:val="a"/>
    <w:link w:val="ad"/>
    <w:uiPriority w:val="99"/>
    <w:unhideWhenUsed/>
    <w:rsid w:val="0012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286D"/>
  </w:style>
  <w:style w:type="paragraph" w:styleId="ae">
    <w:name w:val="footer"/>
    <w:basedOn w:val="a"/>
    <w:link w:val="af"/>
    <w:uiPriority w:val="99"/>
    <w:unhideWhenUsed/>
    <w:rsid w:val="00122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0F2AE-0E59-4940-BABF-615BCC03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3847</Words>
  <Characters>21928</Characters>
  <Application>Microsoft Office Word</Application>
  <DocSecurity>0</DocSecurity>
  <Lines>182</Lines>
  <Paragraphs>51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Almantas Šerpatauskas</dc:creator>
  <cp:lastModifiedBy>Toshiba</cp:lastModifiedBy>
  <cp:revision>2</cp:revision>
  <dcterms:created xsi:type="dcterms:W3CDTF">2019-01-09T07:49:00Z</dcterms:created>
  <dcterms:modified xsi:type="dcterms:W3CDTF">2019-01-09T07:49:00Z</dcterms:modified>
</cp:coreProperties>
</file>