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18" w:rsidRDefault="00AE6518" w:rsidP="00876B6A">
      <w:pPr>
        <w:ind w:left="-142"/>
        <w:rPr>
          <w:lang w:val="en-US"/>
        </w:rPr>
      </w:pPr>
      <w:r>
        <w:rPr>
          <w:noProof/>
          <w:lang w:val="en-US"/>
        </w:rPr>
        <w:drawing>
          <wp:inline distT="0" distB="0" distL="0" distR="0" wp14:anchorId="433B3735" wp14:editId="51C1C438">
            <wp:extent cx="2792557" cy="986936"/>
            <wp:effectExtent l="0" t="0" r="8255" b="3810"/>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57" cy="986936"/>
                    </a:xfrm>
                    <a:prstGeom prst="rect">
                      <a:avLst/>
                    </a:prstGeom>
                  </pic:spPr>
                </pic:pic>
              </a:graphicData>
            </a:graphic>
          </wp:inline>
        </w:drawing>
      </w:r>
    </w:p>
    <w:p w:rsidR="00A76292" w:rsidRDefault="00A76292" w:rsidP="00A76292">
      <w:pPr>
        <w:pStyle w:val="Heading1"/>
        <w:jc w:val="both"/>
        <w:rPr>
          <w:rFonts w:ascii="Times New Roman" w:eastAsiaTheme="minorHAnsi" w:hAnsi="Times New Roman" w:cs="Times New Roman"/>
          <w:bCs w:val="0"/>
          <w:color w:val="auto"/>
          <w:szCs w:val="32"/>
          <w:u w:val="single"/>
          <w:lang w:val="en-GB"/>
        </w:rPr>
      </w:pPr>
      <w:r>
        <w:rPr>
          <w:rFonts w:ascii="Times New Roman" w:eastAsiaTheme="minorHAnsi" w:hAnsi="Times New Roman" w:cs="Times New Roman"/>
          <w:bCs w:val="0"/>
          <w:color w:val="auto"/>
          <w:szCs w:val="32"/>
          <w:u w:val="single"/>
          <w:lang w:val="en-GB"/>
        </w:rPr>
        <w:t>ANNEX 1</w:t>
      </w:r>
      <w:r w:rsidR="00615F0D">
        <w:rPr>
          <w:rFonts w:ascii="Times New Roman" w:eastAsiaTheme="minorHAnsi" w:hAnsi="Times New Roman" w:cs="Times New Roman"/>
          <w:bCs w:val="0"/>
          <w:color w:val="auto"/>
          <w:szCs w:val="32"/>
          <w:u w:val="single"/>
          <w:lang w:val="en-GB"/>
        </w:rPr>
        <w:t xml:space="preserve"> to </w:t>
      </w:r>
      <w:hyperlink r:id="rId8" w:history="1">
        <w:r w:rsidR="00615F0D" w:rsidRPr="00615F0D">
          <w:rPr>
            <w:rStyle w:val="Hyperlink"/>
            <w:rFonts w:ascii="Times New Roman" w:eastAsiaTheme="minorHAnsi" w:hAnsi="Times New Roman" w:cs="Times New Roman"/>
            <w:bCs w:val="0"/>
            <w:szCs w:val="32"/>
            <w:lang w:val="en-GB"/>
          </w:rPr>
          <w:t>Grading Table Data Template Instructions</w:t>
        </w:r>
      </w:hyperlink>
    </w:p>
    <w:p w:rsidR="00F21560" w:rsidRPr="009B2063" w:rsidRDefault="00F21560" w:rsidP="00A76292">
      <w:pPr>
        <w:spacing w:after="0" w:line="240" w:lineRule="auto"/>
        <w:jc w:val="both"/>
        <w:rPr>
          <w:rFonts w:ascii="Times New Roman" w:hAnsi="Times New Roman" w:cs="Times New Roman"/>
          <w:b/>
          <w:sz w:val="32"/>
          <w:szCs w:val="32"/>
          <w:u w:val="single"/>
          <w:lang w:val="en-GB"/>
        </w:rPr>
      </w:pPr>
    </w:p>
    <w:p w:rsidR="00BF6303" w:rsidRDefault="00BF6303" w:rsidP="009B2063">
      <w:pPr>
        <w:spacing w:after="0" w:line="240" w:lineRule="auto"/>
        <w:jc w:val="both"/>
        <w:rPr>
          <w:rFonts w:ascii="Times New Roman" w:hAnsi="Times New Roman" w:cs="Times New Roman"/>
          <w:b/>
          <w:sz w:val="32"/>
          <w:szCs w:val="32"/>
          <w:u w:val="single"/>
          <w:lang w:val="en-GB"/>
        </w:rPr>
      </w:pPr>
      <w:r w:rsidRPr="009B2063">
        <w:rPr>
          <w:rFonts w:ascii="Times New Roman" w:hAnsi="Times New Roman" w:cs="Times New Roman"/>
          <w:b/>
          <w:sz w:val="32"/>
          <w:szCs w:val="32"/>
          <w:u w:val="single"/>
          <w:lang w:val="en-GB"/>
        </w:rPr>
        <w:t xml:space="preserve">Completing the Template </w:t>
      </w:r>
    </w:p>
    <w:p w:rsidR="009B2063" w:rsidRPr="009B2063" w:rsidRDefault="009B2063" w:rsidP="009B2063">
      <w:pPr>
        <w:spacing w:after="0" w:line="240" w:lineRule="auto"/>
        <w:jc w:val="both"/>
        <w:rPr>
          <w:rFonts w:ascii="Times New Roman" w:hAnsi="Times New Roman" w:cs="Times New Roman"/>
          <w:b/>
          <w:sz w:val="32"/>
          <w:szCs w:val="32"/>
          <w:u w:val="single"/>
          <w:lang w:val="en-GB"/>
        </w:rPr>
      </w:pPr>
    </w:p>
    <w:p w:rsidR="00BF6303" w:rsidRDefault="00BF6303" w:rsidP="00BF6303">
      <w:pPr>
        <w:tabs>
          <w:tab w:val="left" w:pos="2024"/>
        </w:tabs>
        <w:jc w:val="both"/>
        <w:rPr>
          <w:rFonts w:ascii="Times New Roman" w:hAnsi="Times New Roman" w:cs="Times New Roman"/>
          <w:sz w:val="24"/>
          <w:szCs w:val="24"/>
          <w:lang w:val="en-GB"/>
        </w:rPr>
      </w:pPr>
      <w:r>
        <w:rPr>
          <w:rFonts w:ascii="Times New Roman" w:hAnsi="Times New Roman" w:cs="Times New Roman"/>
          <w:sz w:val="24"/>
          <w:szCs w:val="24"/>
          <w:lang w:val="en-GB"/>
        </w:rPr>
        <w:t>As illustrated in the main document above, we include all the degrees at Bachelor and Master Levels in the Template. In the Bachelor  Degrees the first year is left out. We go back at least 2 academic years. We also add the ISCED code per degree and the official title of the degree.</w:t>
      </w:r>
    </w:p>
    <w:p w:rsidR="00F21560" w:rsidRPr="00F21560" w:rsidRDefault="00F21560" w:rsidP="00A76292">
      <w:pPr>
        <w:spacing w:after="0" w:line="240" w:lineRule="auto"/>
        <w:jc w:val="both"/>
        <w:rPr>
          <w:rFonts w:ascii="Times New Roman" w:hAnsi="Times New Roman" w:cs="Times New Roman"/>
          <w:b/>
          <w:sz w:val="32"/>
          <w:szCs w:val="32"/>
          <w:u w:val="single"/>
          <w:lang w:val="en-GB"/>
        </w:rPr>
      </w:pPr>
      <w:r w:rsidRPr="00F21560">
        <w:rPr>
          <w:rFonts w:ascii="Times New Roman" w:hAnsi="Times New Roman" w:cs="Times New Roman"/>
          <w:b/>
          <w:sz w:val="32"/>
          <w:szCs w:val="32"/>
          <w:u w:val="single"/>
          <w:lang w:val="en-GB"/>
        </w:rPr>
        <w:t>Further explanations</w:t>
      </w:r>
    </w:p>
    <w:p w:rsidR="00F21560" w:rsidRDefault="00F21560" w:rsidP="00A76292">
      <w:pPr>
        <w:spacing w:after="0" w:line="240" w:lineRule="auto"/>
        <w:jc w:val="both"/>
        <w:rPr>
          <w:rFonts w:ascii="Times New Roman" w:hAnsi="Times New Roman" w:cs="Times New Roman"/>
          <w:sz w:val="24"/>
          <w:szCs w:val="24"/>
          <w:lang w:val="en-GB"/>
        </w:rPr>
      </w:pPr>
    </w:p>
    <w:p w:rsidR="00A76292" w:rsidRDefault="00F21560"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is only for illustration purposes. </w:t>
      </w:r>
      <w:r w:rsidR="00A76292">
        <w:rPr>
          <w:rFonts w:ascii="Times New Roman" w:hAnsi="Times New Roman" w:cs="Times New Roman"/>
          <w:sz w:val="24"/>
          <w:szCs w:val="24"/>
          <w:lang w:val="en-GB"/>
        </w:rPr>
        <w:t>The template for entering the data only require</w:t>
      </w:r>
      <w:r w:rsidR="00A1417D">
        <w:rPr>
          <w:rFonts w:ascii="Times New Roman" w:hAnsi="Times New Roman" w:cs="Times New Roman"/>
          <w:sz w:val="24"/>
          <w:szCs w:val="24"/>
          <w:lang w:val="en-GB"/>
        </w:rPr>
        <w:t>s</w:t>
      </w:r>
      <w:r w:rsidR="00A76292">
        <w:rPr>
          <w:rFonts w:ascii="Times New Roman" w:hAnsi="Times New Roman" w:cs="Times New Roman"/>
          <w:sz w:val="24"/>
          <w:szCs w:val="24"/>
          <w:lang w:val="en-GB"/>
        </w:rPr>
        <w:t xml:space="preserve"> </w:t>
      </w:r>
      <w:r w:rsidR="00065B18">
        <w:rPr>
          <w:rFonts w:ascii="Times New Roman" w:hAnsi="Times New Roman" w:cs="Times New Roman"/>
          <w:sz w:val="24"/>
          <w:szCs w:val="24"/>
          <w:lang w:val="en-GB"/>
        </w:rPr>
        <w:t xml:space="preserve">filling in </w:t>
      </w:r>
      <w:r w:rsidR="00A76292">
        <w:rPr>
          <w:rFonts w:ascii="Times New Roman" w:hAnsi="Times New Roman" w:cs="Times New Roman"/>
          <w:sz w:val="24"/>
          <w:szCs w:val="24"/>
          <w:lang w:val="en-GB"/>
        </w:rPr>
        <w:t>the number of</w:t>
      </w:r>
      <w:r w:rsidR="00065B18">
        <w:rPr>
          <w:rFonts w:ascii="Times New Roman" w:hAnsi="Times New Roman" w:cs="Times New Roman"/>
          <w:sz w:val="24"/>
          <w:szCs w:val="24"/>
          <w:lang w:val="en-GB"/>
        </w:rPr>
        <w:t xml:space="preserve"> occurrences </w:t>
      </w:r>
      <w:r w:rsidR="00A76292">
        <w:rPr>
          <w:rFonts w:ascii="Times New Roman" w:hAnsi="Times New Roman" w:cs="Times New Roman"/>
          <w:sz w:val="24"/>
          <w:szCs w:val="24"/>
          <w:lang w:val="en-GB"/>
        </w:rPr>
        <w:t xml:space="preserve">for each </w:t>
      </w:r>
      <w:r w:rsidR="00065B18">
        <w:rPr>
          <w:rFonts w:ascii="Times New Roman" w:hAnsi="Times New Roman" w:cs="Times New Roman"/>
          <w:sz w:val="24"/>
          <w:szCs w:val="24"/>
          <w:lang w:val="en-GB"/>
        </w:rPr>
        <w:t xml:space="preserve">grade </w:t>
      </w:r>
      <w:r w:rsidR="00A76292">
        <w:rPr>
          <w:rFonts w:ascii="Times New Roman" w:hAnsi="Times New Roman" w:cs="Times New Roman"/>
          <w:sz w:val="24"/>
          <w:szCs w:val="24"/>
          <w:lang w:val="en-GB"/>
        </w:rPr>
        <w:t xml:space="preserve">and the total number of </w:t>
      </w:r>
      <w:r w:rsidR="00065B18">
        <w:rPr>
          <w:rFonts w:ascii="Times New Roman" w:hAnsi="Times New Roman" w:cs="Times New Roman"/>
          <w:sz w:val="24"/>
          <w:szCs w:val="24"/>
          <w:lang w:val="en-GB"/>
        </w:rPr>
        <w:t>grades</w:t>
      </w:r>
      <w:r w:rsidR="00A76292">
        <w:rPr>
          <w:rFonts w:ascii="Times New Roman" w:hAnsi="Times New Roman" w:cs="Times New Roman"/>
          <w:sz w:val="24"/>
          <w:szCs w:val="24"/>
          <w:lang w:val="en-GB"/>
        </w:rPr>
        <w:t xml:space="preserve">. </w:t>
      </w:r>
      <w:r w:rsidR="00A76292" w:rsidRPr="00BF6303">
        <w:rPr>
          <w:rFonts w:ascii="Times New Roman" w:hAnsi="Times New Roman" w:cs="Times New Roman"/>
          <w:b/>
          <w:sz w:val="24"/>
          <w:szCs w:val="24"/>
          <w:lang w:val="en-GB"/>
        </w:rPr>
        <w:t xml:space="preserve">The frequencies are calculated inside the </w:t>
      </w:r>
      <w:r w:rsidR="00065B18" w:rsidRPr="00BF6303">
        <w:rPr>
          <w:rFonts w:ascii="Times New Roman" w:hAnsi="Times New Roman" w:cs="Times New Roman"/>
          <w:b/>
          <w:sz w:val="24"/>
          <w:szCs w:val="24"/>
          <w:lang w:val="en-GB"/>
        </w:rPr>
        <w:t>Egracons T</w:t>
      </w:r>
      <w:r w:rsidR="00A76292" w:rsidRPr="00BF6303">
        <w:rPr>
          <w:rFonts w:ascii="Times New Roman" w:hAnsi="Times New Roman" w:cs="Times New Roman"/>
          <w:b/>
          <w:sz w:val="24"/>
          <w:szCs w:val="24"/>
          <w:lang w:val="en-GB"/>
        </w:rPr>
        <w:t>ool itself</w:t>
      </w:r>
      <w:r w:rsidR="00A76292">
        <w:rPr>
          <w:rFonts w:ascii="Times New Roman" w:hAnsi="Times New Roman" w:cs="Times New Roman"/>
          <w:sz w:val="24"/>
          <w:szCs w:val="24"/>
          <w:lang w:val="en-GB"/>
        </w:rPr>
        <w:t>.</w:t>
      </w:r>
    </w:p>
    <w:p w:rsidR="00A76292" w:rsidRPr="002469D3" w:rsidRDefault="00A76292" w:rsidP="00A76292">
      <w:pPr>
        <w:pStyle w:val="Heading2"/>
        <w:jc w:val="both"/>
        <w:rPr>
          <w:rFonts w:ascii="Times New Roman" w:eastAsiaTheme="minorHAnsi" w:hAnsi="Times New Roman" w:cs="Times New Roman"/>
          <w:bCs w:val="0"/>
          <w:color w:val="auto"/>
          <w:sz w:val="24"/>
          <w:szCs w:val="24"/>
          <w:lang w:val="en-GB"/>
        </w:rPr>
      </w:pPr>
      <w:r w:rsidRPr="002469D3">
        <w:rPr>
          <w:rFonts w:ascii="Times New Roman" w:eastAsiaTheme="minorHAnsi" w:hAnsi="Times New Roman" w:cs="Times New Roman"/>
          <w:bCs w:val="0"/>
          <w:color w:val="auto"/>
          <w:sz w:val="24"/>
          <w:szCs w:val="24"/>
          <w:lang w:val="en-GB"/>
        </w:rPr>
        <w:t>Calculating the frequency distribution</w:t>
      </w:r>
      <w:r w:rsidR="009B2063">
        <w:rPr>
          <w:rFonts w:ascii="Times New Roman" w:eastAsiaTheme="minorHAnsi" w:hAnsi="Times New Roman" w:cs="Times New Roman"/>
          <w:bCs w:val="0"/>
          <w:color w:val="auto"/>
          <w:sz w:val="24"/>
          <w:szCs w:val="24"/>
          <w:lang w:val="en-GB"/>
        </w:rPr>
        <w:t xml:space="preserve"> for each degree grading table </w:t>
      </w:r>
    </w:p>
    <w:p w:rsidR="00A76292" w:rsidRPr="002469D3" w:rsidRDefault="00A76292" w:rsidP="00A76292">
      <w:p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The frequency distribution of pass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s for a given degree course program can be calculated through the following steps:</w:t>
      </w:r>
    </w:p>
    <w:p w:rsidR="00A76292" w:rsidRPr="00F21560" w:rsidRDefault="00A76292" w:rsidP="00F21560">
      <w:pPr>
        <w:autoSpaceDE w:val="0"/>
        <w:autoSpaceDN w:val="0"/>
        <w:adjustRightInd w:val="0"/>
        <w:spacing w:after="0" w:line="240" w:lineRule="auto"/>
        <w:ind w:left="360"/>
        <w:jc w:val="both"/>
        <w:rPr>
          <w:rFonts w:ascii="Times New Roman" w:hAnsi="Times New Roman" w:cs="Times New Roman"/>
          <w:sz w:val="24"/>
          <w:szCs w:val="24"/>
          <w:lang w:val="en-GB"/>
        </w:rPr>
      </w:pPr>
      <w:r w:rsidRPr="00F21560">
        <w:rPr>
          <w:rFonts w:ascii="Times New Roman" w:hAnsi="Times New Roman" w:cs="Times New Roman"/>
          <w:sz w:val="24"/>
          <w:szCs w:val="24"/>
          <w:lang w:val="en-GB"/>
        </w:rPr>
        <w:t>select all relevant course units (CUs) within a specific degree course program (P)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oMath>
      <w:r w:rsidRPr="00F21560">
        <w:rPr>
          <w:rFonts w:ascii="Times New Roman" w:hAnsi="Times New Roman" w:cs="Times New Roman"/>
          <w:sz w:val="24"/>
          <w:szCs w:val="24"/>
          <w:lang w:val="en-GB"/>
        </w:rPr>
        <w:t>&gt;30)</w:t>
      </w:r>
    </w:p>
    <w:p w:rsidR="00A76292" w:rsidRPr="00F21560" w:rsidRDefault="00A76292" w:rsidP="00F2156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for all course units do the following:</w:t>
      </w:r>
      <w:r w:rsidR="00F21560">
        <w:rPr>
          <w:rFonts w:ascii="Times New Roman" w:hAnsi="Times New Roman" w:cs="Times New Roman"/>
          <w:sz w:val="24"/>
          <w:szCs w:val="24"/>
          <w:lang w:val="en-GB"/>
        </w:rPr>
        <w:t xml:space="preserve"> </w:t>
      </w:r>
      <w:r w:rsidRPr="00F21560">
        <w:rPr>
          <w:rFonts w:ascii="Times New Roman" w:hAnsi="Times New Roman" w:cs="Times New Roman"/>
          <w:sz w:val="24"/>
          <w:szCs w:val="24"/>
          <w:lang w:val="en-GB"/>
        </w:rPr>
        <w:t xml:space="preserve">for each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within the scale used (mk, mk-1, …,m0) equal or better than the pass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(m0), count how many times students obtained that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within at least the last 2 years (call these counts Mk, Mk-1, …, M0)</w:t>
      </w:r>
    </w:p>
    <w:p w:rsidR="00A76292" w:rsidRPr="002469D3" w:rsidRDefault="00A76292" w:rsidP="00F2156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calculate the total number of times students obtained equal or better than the pass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this value is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i=0</m:t>
            </m:r>
          </m:sub>
          <m:sup>
            <m:r>
              <m:rPr>
                <m:sty m:val="p"/>
              </m:rPr>
              <w:rPr>
                <w:rFonts w:ascii="Cambria Math" w:hAnsi="Cambria Math" w:cs="Times New Roman"/>
                <w:sz w:val="24"/>
                <w:szCs w:val="24"/>
                <w:lang w:val="en-GB"/>
              </w:rPr>
              <m:t>k</m:t>
            </m:r>
          </m:sup>
          <m:e>
            <m:r>
              <m:rPr>
                <m:sty m:val="p"/>
              </m:rPr>
              <w:rPr>
                <w:rFonts w:ascii="Cambria Math" w:hAnsi="Cambria Math" w:cs="Times New Roman"/>
                <w:sz w:val="24"/>
                <w:szCs w:val="24"/>
                <w:lang w:val="en-GB"/>
              </w:rPr>
              <m:t xml:space="preserve"> </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i</m:t>
                </m:r>
              </m:sub>
            </m:sSub>
          </m:e>
        </m:nary>
      </m:oMath>
    </w:p>
    <w:p w:rsidR="00A76292" w:rsidRPr="00BF6303" w:rsidRDefault="00F21560" w:rsidP="00F21560">
      <w:pPr>
        <w:pStyle w:val="ListParagraph"/>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A76292" w:rsidRPr="00BF6303">
        <w:rPr>
          <w:rFonts w:ascii="Times New Roman" w:hAnsi="Times New Roman" w:cs="Times New Roman"/>
          <w:sz w:val="24"/>
          <w:szCs w:val="24"/>
          <w:lang w:val="en-GB"/>
        </w:rPr>
        <w:t xml:space="preserve">or each </w:t>
      </w:r>
      <w:r w:rsidR="008D406C" w:rsidRPr="00BF6303">
        <w:rPr>
          <w:rFonts w:ascii="Times New Roman" w:hAnsi="Times New Roman" w:cs="Times New Roman"/>
          <w:sz w:val="24"/>
          <w:szCs w:val="24"/>
          <w:lang w:val="en-GB"/>
        </w:rPr>
        <w:t>grade</w:t>
      </w:r>
      <w:r w:rsidR="00A76292" w:rsidRPr="00BF6303">
        <w:rPr>
          <w:rFonts w:ascii="Times New Roman" w:hAnsi="Times New Roman" w:cs="Times New Roman"/>
          <w:sz w:val="24"/>
          <w:szCs w:val="24"/>
          <w:lang w:val="en-GB"/>
        </w:rPr>
        <w:t xml:space="preserve"> the frequency distribution is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F</m:t>
            </m:r>
          </m:e>
          <m:sub>
            <m:r>
              <m:rPr>
                <m:sty m:val="p"/>
              </m:rPr>
              <w:rPr>
                <w:rFonts w:ascii="Cambria Math" w:hAnsi="Cambria Math" w:cs="Times New Roman"/>
                <w:sz w:val="24"/>
                <w:szCs w:val="24"/>
                <w:lang w:val="en-GB"/>
              </w:rPr>
              <m:t>k</m:t>
            </m:r>
          </m:sub>
        </m:sSub>
        <m:r>
          <m:rPr>
            <m:sty m:val="p"/>
          </m:rPr>
          <w:rPr>
            <w:rFonts w:ascii="Cambria Math" w:hAnsi="Cambria Math" w:cs="Times New Roman"/>
            <w:sz w:val="24"/>
            <w:szCs w:val="24"/>
            <w:lang w:val="en-GB"/>
          </w:rPr>
          <m:t xml:space="preserve">= </m:t>
        </m:r>
        <m:f>
          <m:fPr>
            <m:type m:val="skw"/>
            <m:ctrlPr>
              <w:rPr>
                <w:rFonts w:ascii="Cambria Math" w:hAnsi="Cambria Math" w:cs="Times New Roman"/>
                <w:sz w:val="24"/>
                <w:szCs w:val="24"/>
                <w:lang w:val="en-GB"/>
              </w:rPr>
            </m:ctrlPr>
          </m:fPr>
          <m:num>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k</m:t>
                </m:r>
              </m:sub>
            </m:sSub>
          </m:num>
          <m:den>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den>
        </m:f>
        <m:r>
          <m:rPr>
            <m:sty m:val="p"/>
          </m:rPr>
          <w:rPr>
            <w:rFonts w:ascii="Cambria Math" w:hAnsi="Cambria Math" w:cs="Times New Roman"/>
            <w:sz w:val="24"/>
            <w:szCs w:val="24"/>
            <w:lang w:val="en-GB"/>
          </w:rPr>
          <m:t>×100</m:t>
        </m:r>
      </m:oMath>
      <w:r w:rsidR="00BF6303" w:rsidRPr="00BF6303">
        <w:rPr>
          <w:rFonts w:ascii="Times New Roman" w:eastAsiaTheme="minorEastAsia" w:hAnsi="Times New Roman" w:cs="Times New Roman"/>
          <w:sz w:val="24"/>
          <w:szCs w:val="24"/>
          <w:lang w:val="en-GB"/>
        </w:rPr>
        <w:t>. This does not have to be indicated in the template.</w:t>
      </w:r>
      <w:r>
        <w:rPr>
          <w:rFonts w:ascii="Times New Roman" w:eastAsiaTheme="minorEastAsia" w:hAnsi="Times New Roman" w:cs="Times New Roman"/>
          <w:sz w:val="24"/>
          <w:szCs w:val="24"/>
          <w:lang w:val="en-GB"/>
        </w:rPr>
        <w:t xml:space="preserve"> </w:t>
      </w:r>
      <w:r w:rsidR="00A76292" w:rsidRPr="00BF6303">
        <w:rPr>
          <w:rFonts w:ascii="Times New Roman" w:eastAsiaTheme="minorEastAsia" w:hAnsi="Times New Roman" w:cs="Times New Roman"/>
          <w:sz w:val="24"/>
          <w:szCs w:val="24"/>
          <w:lang w:val="en-GB"/>
        </w:rPr>
        <w:t>We calculate a result specific to 2 decimal points and report in numeric fields</w:t>
      </w:r>
      <w:r w:rsidR="00065B18" w:rsidRPr="00BF6303">
        <w:rPr>
          <w:rFonts w:ascii="Times New Roman" w:eastAsiaTheme="minorEastAsia" w:hAnsi="Times New Roman" w:cs="Times New Roman"/>
          <w:sz w:val="24"/>
          <w:szCs w:val="24"/>
          <w:lang w:val="en-GB"/>
        </w:rPr>
        <w:t>.</w:t>
      </w:r>
    </w:p>
    <w:p w:rsidR="00A76292" w:rsidRPr="002469D3" w:rsidRDefault="00A76292" w:rsidP="00A76292">
      <w:pPr>
        <w:pStyle w:val="Heading2"/>
        <w:jc w:val="both"/>
        <w:rPr>
          <w:rFonts w:ascii="Times New Roman" w:eastAsiaTheme="minorHAnsi" w:hAnsi="Times New Roman" w:cs="Times New Roman"/>
          <w:bCs w:val="0"/>
          <w:color w:val="auto"/>
          <w:sz w:val="24"/>
          <w:szCs w:val="24"/>
          <w:lang w:val="en-GB"/>
        </w:rPr>
      </w:pPr>
      <w:r w:rsidRPr="002469D3">
        <w:rPr>
          <w:rFonts w:ascii="Times New Roman" w:eastAsiaTheme="minorHAnsi" w:hAnsi="Times New Roman" w:cs="Times New Roman"/>
          <w:bCs w:val="0"/>
          <w:color w:val="auto"/>
          <w:sz w:val="24"/>
          <w:szCs w:val="24"/>
          <w:lang w:val="en-GB"/>
        </w:rPr>
        <w:t>Calculating the accumulated frequency distribution</w:t>
      </w:r>
      <w:r w:rsidR="009B2063">
        <w:rPr>
          <w:rFonts w:ascii="Times New Roman" w:eastAsiaTheme="minorHAnsi" w:hAnsi="Times New Roman" w:cs="Times New Roman"/>
          <w:bCs w:val="0"/>
          <w:color w:val="auto"/>
          <w:sz w:val="24"/>
          <w:szCs w:val="24"/>
          <w:lang w:val="en-GB"/>
        </w:rPr>
        <w:t xml:space="preserve"> for a degree grading table</w:t>
      </w:r>
    </w:p>
    <w:p w:rsidR="00A76292" w:rsidRPr="002469D3" w:rsidRDefault="00A76292" w:rsidP="00A76292">
      <w:p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The accumulated frequency distribution can be calculated from the frequency distribution (described in the previous paragraph) through the following steps:</w:t>
      </w:r>
    </w:p>
    <w:p w:rsidR="00A76292" w:rsidRPr="002469D3" w:rsidRDefault="00A76292" w:rsidP="00A76292">
      <w:p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Afi is the accumulated frequency for the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mi </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Afk = Fk </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Afk-1 = Afk + Fk-1</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Afk-2 = Afk-1 + Fk-2</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Af1 = Af2 + F1</w:t>
      </w:r>
    </w:p>
    <w:p w:rsidR="00A76292" w:rsidRPr="002469D3" w:rsidRDefault="00A76292" w:rsidP="00A76292">
      <w:pPr>
        <w:pStyle w:val="ListParagraph"/>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Af0 = Af1 + F0  (this value will </w:t>
      </w:r>
      <w:r>
        <w:rPr>
          <w:rFonts w:ascii="Times New Roman" w:hAnsi="Times New Roman" w:cs="Times New Roman"/>
          <w:sz w:val="24"/>
          <w:szCs w:val="24"/>
          <w:lang w:val="en-GB"/>
        </w:rPr>
        <w:t xml:space="preserve">always </w:t>
      </w:r>
      <w:r w:rsidRPr="002469D3">
        <w:rPr>
          <w:rFonts w:ascii="Times New Roman" w:hAnsi="Times New Roman" w:cs="Times New Roman"/>
          <w:sz w:val="24"/>
          <w:szCs w:val="24"/>
          <w:lang w:val="en-GB"/>
        </w:rPr>
        <w:t>be 100)</w:t>
      </w:r>
    </w:p>
    <w:p w:rsidR="00A76292" w:rsidRPr="00F21560" w:rsidRDefault="00A76292" w:rsidP="00F21560">
      <w:pPr>
        <w:pStyle w:val="Heading2"/>
        <w:jc w:val="both"/>
        <w:rPr>
          <w:rFonts w:ascii="Times New Roman" w:eastAsiaTheme="minorHAnsi" w:hAnsi="Times New Roman" w:cs="Times New Roman"/>
          <w:bCs w:val="0"/>
          <w:color w:val="auto"/>
          <w:sz w:val="24"/>
          <w:szCs w:val="24"/>
          <w:lang w:val="en-GB"/>
        </w:rPr>
      </w:pPr>
      <w:r w:rsidRPr="00F21560">
        <w:rPr>
          <w:rFonts w:ascii="Times New Roman" w:eastAsiaTheme="minorHAnsi" w:hAnsi="Times New Roman" w:cs="Times New Roman"/>
          <w:bCs w:val="0"/>
          <w:color w:val="auto"/>
          <w:sz w:val="24"/>
          <w:szCs w:val="24"/>
          <w:lang w:val="en-GB"/>
        </w:rPr>
        <w:t>Explained example</w:t>
      </w:r>
      <w:r w:rsidR="00F21560">
        <w:rPr>
          <w:rFonts w:ascii="Times New Roman" w:eastAsiaTheme="minorHAnsi" w:hAnsi="Times New Roman" w:cs="Times New Roman"/>
          <w:bCs w:val="0"/>
          <w:color w:val="auto"/>
          <w:sz w:val="24"/>
          <w:szCs w:val="24"/>
          <w:lang w:val="en-GB"/>
        </w:rPr>
        <w:t xml:space="preserve"> (in full)</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Degree course program</w:t>
      </w:r>
      <w:r>
        <w:rPr>
          <w:rFonts w:ascii="Times New Roman" w:hAnsi="Times New Roman" w:cs="Times New Roman"/>
          <w:sz w:val="24"/>
          <w:szCs w:val="24"/>
          <w:lang w:val="en-GB"/>
        </w:rPr>
        <w:t xml:space="preserve">me: </w:t>
      </w:r>
      <w:r w:rsidR="00F21560">
        <w:rPr>
          <w:rFonts w:ascii="Times New Roman" w:hAnsi="Times New Roman" w:cs="Times New Roman"/>
          <w:sz w:val="24"/>
          <w:szCs w:val="24"/>
          <w:lang w:val="en-GB"/>
        </w:rPr>
        <w:t xml:space="preserve">Ba in biological </w:t>
      </w:r>
      <w:r>
        <w:rPr>
          <w:rFonts w:ascii="Times New Roman" w:hAnsi="Times New Roman" w:cs="Times New Roman"/>
          <w:sz w:val="24"/>
          <w:szCs w:val="24"/>
          <w:lang w:val="en-GB"/>
        </w:rPr>
        <w:t>sc</w:t>
      </w:r>
      <w:r w:rsidRPr="002469D3">
        <w:rPr>
          <w:rFonts w:ascii="Times New Roman" w:hAnsi="Times New Roman" w:cs="Times New Roman"/>
          <w:sz w:val="24"/>
          <w:szCs w:val="24"/>
          <w:lang w:val="en-GB"/>
        </w:rPr>
        <w:t>iences</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Course units: Math, Physics, Biology (and many others)</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lastRenderedPageBreak/>
        <w:t xml:space="preserve">Pass </w:t>
      </w:r>
      <w:r w:rsidR="00065B18">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A76292" w:rsidRPr="002469D3"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Passing </w:t>
      </w:r>
      <w:r w:rsidR="00065B18">
        <w:rPr>
          <w:rFonts w:ascii="Times New Roman" w:hAnsi="Times New Roman" w:cs="Times New Roman"/>
          <w:sz w:val="24"/>
          <w:szCs w:val="24"/>
          <w:lang w:val="en-GB"/>
        </w:rPr>
        <w:t xml:space="preserve">grades </w:t>
      </w:r>
      <w:r w:rsidRPr="002469D3">
        <w:rPr>
          <w:rFonts w:ascii="Times New Roman" w:hAnsi="Times New Roman" w:cs="Times New Roman"/>
          <w:sz w:val="24"/>
          <w:szCs w:val="24"/>
          <w:lang w:val="en-GB"/>
        </w:rPr>
        <w:t xml:space="preserve">within the grading scale in use: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w:t>
      </w:r>
      <w:r w:rsidRPr="002469D3">
        <w:rPr>
          <w:rFonts w:ascii="Times New Roman" w:hAnsi="Times New Roman" w:cs="Times New Roman"/>
          <w:sz w:val="24"/>
          <w:szCs w:val="24"/>
          <w:lang w:val="en-GB"/>
        </w:rPr>
        <w:t xml:space="preserve"> = 20,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k-1</w:t>
      </w:r>
      <w:r w:rsidRPr="002469D3">
        <w:rPr>
          <w:rFonts w:ascii="Times New Roman" w:hAnsi="Times New Roman" w:cs="Times New Roman"/>
          <w:sz w:val="24"/>
          <w:szCs w:val="24"/>
          <w:lang w:val="en-GB"/>
        </w:rPr>
        <w:t xml:space="preserve"> = 19, …,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11,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A76292" w:rsidRDefault="00A76292" w:rsidP="00A76292">
      <w:pPr>
        <w:spacing w:after="0" w:line="240" w:lineRule="auto"/>
        <w:jc w:val="both"/>
        <w:rPr>
          <w:rFonts w:ascii="Times New Roman" w:hAnsi="Times New Roman" w:cs="Times New Roman"/>
          <w:sz w:val="24"/>
          <w:szCs w:val="24"/>
          <w:lang w:val="en-GB"/>
        </w:rPr>
      </w:pPr>
    </w:p>
    <w:p w:rsidR="00A76292"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a Bachelor </w:t>
      </w:r>
      <w:r w:rsidR="00065B18">
        <w:rPr>
          <w:rFonts w:ascii="Times New Roman" w:hAnsi="Times New Roman" w:cs="Times New Roman"/>
          <w:sz w:val="24"/>
          <w:szCs w:val="24"/>
          <w:lang w:val="en-GB"/>
        </w:rPr>
        <w:t xml:space="preserve">do not consider </w:t>
      </w:r>
      <w:r>
        <w:rPr>
          <w:rFonts w:ascii="Times New Roman" w:hAnsi="Times New Roman" w:cs="Times New Roman"/>
          <w:sz w:val="24"/>
          <w:szCs w:val="24"/>
          <w:lang w:val="en-GB"/>
        </w:rPr>
        <w:t xml:space="preserve">the </w:t>
      </w:r>
      <w:r w:rsidR="00065B18">
        <w:rPr>
          <w:rFonts w:ascii="Times New Roman" w:hAnsi="Times New Roman" w:cs="Times New Roman"/>
          <w:sz w:val="24"/>
          <w:szCs w:val="24"/>
          <w:lang w:val="en-GB"/>
        </w:rPr>
        <w:t>first cohort</w:t>
      </w:r>
      <w:r>
        <w:rPr>
          <w:rFonts w:ascii="Times New Roman" w:hAnsi="Times New Roman" w:cs="Times New Roman"/>
          <w:sz w:val="24"/>
          <w:szCs w:val="24"/>
          <w:lang w:val="en-GB"/>
        </w:rPr>
        <w:t xml:space="preserve"> of the degree (</w:t>
      </w:r>
      <w:r w:rsidR="00065B18">
        <w:rPr>
          <w:rFonts w:ascii="Times New Roman" w:hAnsi="Times New Roman" w:cs="Times New Roman"/>
          <w:sz w:val="24"/>
          <w:szCs w:val="24"/>
          <w:lang w:val="en-GB"/>
        </w:rPr>
        <w:t xml:space="preserve">so </w:t>
      </w:r>
      <w:r w:rsidR="008D406C">
        <w:rPr>
          <w:rFonts w:ascii="Times New Roman" w:hAnsi="Times New Roman" w:cs="Times New Roman"/>
          <w:sz w:val="24"/>
          <w:szCs w:val="24"/>
          <w:lang w:val="en-GB"/>
        </w:rPr>
        <w:t xml:space="preserve">use </w:t>
      </w:r>
      <w:r>
        <w:rPr>
          <w:rFonts w:ascii="Times New Roman" w:hAnsi="Times New Roman" w:cs="Times New Roman"/>
          <w:sz w:val="24"/>
          <w:szCs w:val="24"/>
          <w:lang w:val="en-GB"/>
        </w:rPr>
        <w:t>BA2, BA3, possibly BA4), for a Master consider all years (MA1 and MA2 (if applicable)). These cohorts are determined for at least the last 2 academic years.</w:t>
      </w:r>
    </w:p>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Within the</w:t>
      </w:r>
      <w:r>
        <w:rPr>
          <w:rFonts w:ascii="Times New Roman" w:hAnsi="Times New Roman" w:cs="Times New Roman"/>
          <w:sz w:val="24"/>
          <w:szCs w:val="24"/>
          <w:lang w:val="en-GB"/>
        </w:rPr>
        <w:t>se</w:t>
      </w:r>
      <w:r w:rsidRPr="002469D3">
        <w:rPr>
          <w:rFonts w:ascii="Times New Roman" w:hAnsi="Times New Roman" w:cs="Times New Roman"/>
          <w:sz w:val="24"/>
          <w:szCs w:val="24"/>
          <w:lang w:val="en-GB"/>
        </w:rPr>
        <w:t xml:space="preserve"> last 2 </w:t>
      </w:r>
      <w:r>
        <w:rPr>
          <w:rFonts w:ascii="Times New Roman" w:hAnsi="Times New Roman" w:cs="Times New Roman"/>
          <w:sz w:val="24"/>
          <w:szCs w:val="24"/>
          <w:lang w:val="en-GB"/>
        </w:rPr>
        <w:t xml:space="preserve">academic </w:t>
      </w:r>
      <w:r w:rsidRPr="002469D3">
        <w:rPr>
          <w:rFonts w:ascii="Times New Roman" w:hAnsi="Times New Roman" w:cs="Times New Roman"/>
          <w:sz w:val="24"/>
          <w:szCs w:val="24"/>
          <w:lang w:val="en-GB"/>
        </w:rPr>
        <w:t>years:</w:t>
      </w:r>
    </w:p>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Pr="002469D3" w:rsidRDefault="00A76292" w:rsidP="00A76292">
      <w:pPr>
        <w:pStyle w:val="ListParagraph"/>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Total 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TOT</w:t>
      </w:r>
      <w:r w:rsidRPr="002469D3">
        <w:rPr>
          <w:rFonts w:ascii="Times New Roman" w:hAnsi="Times New Roman" w:cs="Times New Roman"/>
          <w:sz w:val="24"/>
          <w:szCs w:val="24"/>
          <w:lang w:val="en-GB"/>
        </w:rPr>
        <w:t xml:space="preserve"> = 3968</w:t>
      </w:r>
    </w:p>
    <w:p w:rsidR="00A76292" w:rsidRPr="002469D3" w:rsidRDefault="00A76292" w:rsidP="00A76292">
      <w:pPr>
        <w:pStyle w:val="ListParagraph"/>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627</w:t>
      </w:r>
    </w:p>
    <w:p w:rsidR="00A76292" w:rsidRPr="002469D3" w:rsidRDefault="00A76292" w:rsidP="00A76292">
      <w:pPr>
        <w:pStyle w:val="ListParagraph"/>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11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905</w:t>
      </w:r>
    </w:p>
    <w:p w:rsidR="00A76292" w:rsidRPr="00A76292" w:rsidRDefault="00A76292" w:rsidP="00A76292">
      <w:pPr>
        <w:pStyle w:val="ListParagraph"/>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See table below</w:t>
      </w:r>
    </w:p>
    <w:tbl>
      <w:tblPr>
        <w:tblW w:w="333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34"/>
        <w:gridCol w:w="1199"/>
      </w:tblGrid>
      <w:tr w:rsidR="00A76292" w:rsidRPr="002469D3" w:rsidTr="00FF4B5B">
        <w:trPr>
          <w:trHeight w:val="324"/>
          <w:jc w:val="center"/>
        </w:trPr>
        <w:tc>
          <w:tcPr>
            <w:tcW w:w="2134"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99"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Tot.num.</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557</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696</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348</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209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279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905</w:t>
            </w:r>
          </w:p>
        </w:tc>
      </w:tr>
      <w:tr w:rsidR="00A76292" w:rsidRPr="002469D3" w:rsidTr="00FF4B5B">
        <w:trPr>
          <w:trHeight w:val="324"/>
          <w:jc w:val="center"/>
        </w:trPr>
        <w:tc>
          <w:tcPr>
            <w:tcW w:w="2134"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99"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627</w:t>
            </w:r>
          </w:p>
        </w:tc>
      </w:tr>
      <w:tr w:rsidR="00A76292" w:rsidRPr="002469D3" w:rsidTr="00FF4B5B">
        <w:trPr>
          <w:trHeight w:val="324"/>
          <w:jc w:val="center"/>
        </w:trPr>
        <w:tc>
          <w:tcPr>
            <w:tcW w:w="2134" w:type="dxa"/>
            <w:shd w:val="clear" w:color="auto" w:fill="auto"/>
            <w:noWrap/>
            <w:vAlign w:val="bottom"/>
          </w:tcPr>
          <w:p w:rsidR="00A76292" w:rsidRPr="006D6B31" w:rsidRDefault="00A76292" w:rsidP="00FF4B5B">
            <w:pPr>
              <w:spacing w:after="0" w:line="240" w:lineRule="auto"/>
              <w:jc w:val="both"/>
              <w:rPr>
                <w:rFonts w:ascii="Times New Roman" w:eastAsia="Times New Roman" w:hAnsi="Times New Roman" w:cs="Times New Roman"/>
                <w:b/>
                <w:color w:val="000000"/>
                <w:sz w:val="24"/>
                <w:szCs w:val="24"/>
                <w:lang w:val="en-GB" w:eastAsia="zh-TW"/>
              </w:rPr>
            </w:pPr>
            <w:r w:rsidRPr="006D6B31">
              <w:rPr>
                <w:rFonts w:ascii="Times New Roman" w:eastAsia="Times New Roman" w:hAnsi="Times New Roman" w:cs="Times New Roman"/>
                <w:b/>
                <w:color w:val="000000"/>
                <w:sz w:val="24"/>
                <w:szCs w:val="24"/>
                <w:lang w:val="en-GB" w:eastAsia="zh-TW"/>
              </w:rPr>
              <w:t>TOTAL_MARKS</w:t>
            </w:r>
          </w:p>
        </w:tc>
        <w:tc>
          <w:tcPr>
            <w:tcW w:w="1199"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3968</w:t>
            </w:r>
          </w:p>
        </w:tc>
      </w:tr>
    </w:tbl>
    <w:p w:rsidR="00A76292"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A76292" w:rsidRDefault="00A76292" w:rsidP="00A76292">
      <w:pPr>
        <w:spacing w:after="0" w:line="24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template for entering the data only require the number of </w:t>
      </w:r>
      <w:r w:rsidR="008D406C">
        <w:rPr>
          <w:rFonts w:ascii="Times New Roman" w:hAnsi="Times New Roman" w:cs="Times New Roman"/>
          <w:sz w:val="24"/>
          <w:szCs w:val="24"/>
          <w:lang w:val="en-GB"/>
        </w:rPr>
        <w:t>occurrences</w:t>
      </w:r>
      <w:r w:rsidR="009B2063">
        <w:rPr>
          <w:rFonts w:ascii="Times New Roman" w:hAnsi="Times New Roman" w:cs="Times New Roman"/>
          <w:sz w:val="24"/>
          <w:szCs w:val="24"/>
          <w:lang w:val="en-GB"/>
        </w:rPr>
        <w:t xml:space="preserve"> (no decimals)</w:t>
      </w:r>
      <w:r w:rsidR="008D406C">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each </w:t>
      </w:r>
      <w:r w:rsidR="008D406C">
        <w:rPr>
          <w:rFonts w:ascii="Times New Roman" w:hAnsi="Times New Roman" w:cs="Times New Roman"/>
          <w:sz w:val="24"/>
          <w:szCs w:val="24"/>
          <w:lang w:val="en-GB"/>
        </w:rPr>
        <w:t>grade</w:t>
      </w:r>
      <w:r>
        <w:rPr>
          <w:rFonts w:ascii="Times New Roman" w:hAnsi="Times New Roman" w:cs="Times New Roman"/>
          <w:sz w:val="24"/>
          <w:szCs w:val="24"/>
          <w:lang w:val="en-GB"/>
        </w:rPr>
        <w:t xml:space="preserve"> and the total number of </w:t>
      </w:r>
      <w:r w:rsidR="008D406C">
        <w:rPr>
          <w:rFonts w:ascii="Times New Roman" w:hAnsi="Times New Roman" w:cs="Times New Roman"/>
          <w:sz w:val="24"/>
          <w:szCs w:val="24"/>
          <w:lang w:val="en-GB"/>
        </w:rPr>
        <w:t>occurrences</w:t>
      </w:r>
      <w:r>
        <w:rPr>
          <w:rFonts w:ascii="Times New Roman" w:hAnsi="Times New Roman" w:cs="Times New Roman"/>
          <w:sz w:val="24"/>
          <w:szCs w:val="24"/>
          <w:lang w:val="en-GB"/>
        </w:rPr>
        <w:t>. The frequen</w:t>
      </w:r>
      <w:r w:rsidR="008D406C">
        <w:rPr>
          <w:rFonts w:ascii="Times New Roman" w:hAnsi="Times New Roman" w:cs="Times New Roman"/>
          <w:sz w:val="24"/>
          <w:szCs w:val="24"/>
          <w:lang w:val="en-GB"/>
        </w:rPr>
        <w:t>cies are calculated inside the Egracons T</w:t>
      </w:r>
      <w:r>
        <w:rPr>
          <w:rFonts w:ascii="Times New Roman" w:hAnsi="Times New Roman" w:cs="Times New Roman"/>
          <w:sz w:val="24"/>
          <w:szCs w:val="24"/>
          <w:lang w:val="en-GB"/>
        </w:rPr>
        <w:t>ool itself.</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b/>
      </w:r>
    </w:p>
    <w:p w:rsidR="00A76292" w:rsidRPr="002469D3" w:rsidRDefault="00A76292" w:rsidP="00A76292">
      <w:pPr>
        <w:pStyle w:val="ListParagraph"/>
        <w:numPr>
          <w:ilvl w:val="0"/>
          <w:numId w:val="5"/>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Frequency</w:t>
      </w:r>
      <w:r w:rsidR="00F21560">
        <w:rPr>
          <w:rFonts w:ascii="Times New Roman" w:hAnsi="Times New Roman" w:cs="Times New Roman"/>
          <w:sz w:val="24"/>
          <w:szCs w:val="24"/>
          <w:lang w:val="en-GB"/>
        </w:rPr>
        <w:t xml:space="preserve"> (calculated inside the tool)</w:t>
      </w:r>
      <w:r w:rsidRPr="002469D3">
        <w:rPr>
          <w:rFonts w:ascii="Times New Roman" w:hAnsi="Times New Roman" w:cs="Times New Roman"/>
          <w:sz w:val="24"/>
          <w:szCs w:val="24"/>
          <w:lang w:val="en-GB"/>
        </w:rPr>
        <w:t>:</w:t>
      </w:r>
      <w:r w:rsidRPr="002469D3">
        <w:rPr>
          <w:rFonts w:ascii="Times New Roman" w:hAnsi="Times New Roman" w:cs="Times New Roman"/>
          <w:i/>
          <w:sz w:val="24"/>
          <w:szCs w:val="24"/>
          <w:lang w:val="en-GB"/>
        </w:rPr>
        <w:t xml:space="preserve">  </w:t>
      </w:r>
      <w:r>
        <w:rPr>
          <w:rFonts w:ascii="Times New Roman" w:hAnsi="Times New Roman" w:cs="Times New Roman"/>
          <w:i/>
          <w:sz w:val="24"/>
          <w:szCs w:val="24"/>
          <w:lang w:val="en-GB"/>
        </w:rPr>
        <w:tab/>
      </w: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(627 / 3968) * 100 = 15.79; </w:t>
      </w:r>
    </w:p>
    <w:p w:rsidR="00A76292" w:rsidRPr="002469D3" w:rsidRDefault="00A76292" w:rsidP="00A76292">
      <w:pPr>
        <w:spacing w:after="0" w:line="240" w:lineRule="auto"/>
        <w:ind w:left="1416" w:firstLine="708"/>
        <w:jc w:val="both"/>
        <w:rPr>
          <w:rFonts w:ascii="Times New Roman" w:hAnsi="Times New Roman" w:cs="Times New Roman"/>
          <w:sz w:val="24"/>
          <w:szCs w:val="24"/>
          <w:lang w:val="en-GB"/>
        </w:rPr>
      </w:pP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(925 / 3968) * 100 = 22.81; </w:t>
      </w:r>
    </w:p>
    <w:p w:rsidR="00A76292" w:rsidRPr="002469D3" w:rsidRDefault="00A76292" w:rsidP="00A76292">
      <w:pPr>
        <w:spacing w:after="0" w:line="240" w:lineRule="auto"/>
        <w:ind w:left="2124"/>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and so on, see table below.</w:t>
      </w:r>
    </w:p>
    <w:p w:rsidR="00A76292" w:rsidRPr="002469D3" w:rsidRDefault="00A76292" w:rsidP="00A76292">
      <w:pPr>
        <w:spacing w:after="0" w:line="240" w:lineRule="auto"/>
        <w:ind w:left="2124"/>
        <w:jc w:val="both"/>
        <w:rPr>
          <w:rFonts w:ascii="Times New Roman" w:hAnsi="Times New Roman" w:cs="Times New Roman"/>
          <w:sz w:val="24"/>
          <w:szCs w:val="24"/>
          <w:lang w:val="en-GB"/>
        </w:rPr>
      </w:pPr>
    </w:p>
    <w:p w:rsidR="00A76292" w:rsidRPr="002469D3" w:rsidRDefault="00A76292" w:rsidP="00A76292">
      <w:pPr>
        <w:spacing w:after="0" w:line="240" w:lineRule="auto"/>
        <w:jc w:val="both"/>
        <w:rPr>
          <w:rFonts w:ascii="Times New Roman" w:hAnsi="Times New Roman" w:cs="Times New Roman"/>
          <w:sz w:val="24"/>
          <w:szCs w:val="24"/>
          <w:lang w:val="en-GB"/>
        </w:rPr>
      </w:pPr>
    </w:p>
    <w:tbl>
      <w:tblPr>
        <w:tblW w:w="35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0"/>
        <w:gridCol w:w="1120"/>
        <w:gridCol w:w="1460"/>
      </w:tblGrid>
      <w:tr w:rsidR="00A76292" w:rsidRPr="00A76292" w:rsidTr="00FF4B5B">
        <w:trPr>
          <w:trHeight w:val="300"/>
          <w:jc w:val="center"/>
        </w:trPr>
        <w:tc>
          <w:tcPr>
            <w:tcW w:w="960"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20"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Tot.num.</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Frequency (%)</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3.51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3.51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557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14.04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696</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348</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8.77</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5.26</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279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7.02</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905</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22.81</w:t>
            </w:r>
          </w:p>
        </w:tc>
      </w:tr>
      <w:tr w:rsidR="00A76292" w:rsidRPr="002469D3" w:rsidTr="00FF4B5B">
        <w:trPr>
          <w:trHeight w:val="300"/>
          <w:jc w:val="center"/>
        </w:trPr>
        <w:tc>
          <w:tcPr>
            <w:tcW w:w="9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2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627</w:t>
            </w:r>
          </w:p>
        </w:tc>
        <w:tc>
          <w:tcPr>
            <w:tcW w:w="14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15.79</w:t>
            </w:r>
          </w:p>
        </w:tc>
      </w:tr>
      <w:tr w:rsidR="00A76292" w:rsidRPr="002469D3" w:rsidTr="00FF4B5B">
        <w:trPr>
          <w:trHeight w:val="300"/>
          <w:jc w:val="center"/>
        </w:trPr>
        <w:tc>
          <w:tcPr>
            <w:tcW w:w="9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p>
        </w:tc>
        <w:tc>
          <w:tcPr>
            <w:tcW w:w="112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 xml:space="preserve">Total </w:t>
            </w:r>
          </w:p>
        </w:tc>
        <w:tc>
          <w:tcPr>
            <w:tcW w:w="14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100</w:t>
            </w:r>
          </w:p>
        </w:tc>
      </w:tr>
    </w:tbl>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Pr="002469D3" w:rsidRDefault="00A76292" w:rsidP="00A76292">
      <w:pPr>
        <w:jc w:val="both"/>
        <w:rPr>
          <w:rFonts w:ascii="Times New Roman" w:hAnsi="Times New Roman" w:cs="Times New Roman"/>
          <w:sz w:val="24"/>
          <w:szCs w:val="24"/>
          <w:lang w:val="en-GB"/>
        </w:rPr>
      </w:pPr>
    </w:p>
    <w:p w:rsidR="00A76292" w:rsidRPr="005A62AC" w:rsidRDefault="00A76292" w:rsidP="00A76292">
      <w:pPr>
        <w:pStyle w:val="ListParagraph"/>
        <w:numPr>
          <w:ilvl w:val="0"/>
          <w:numId w:val="10"/>
        </w:numPr>
        <w:jc w:val="both"/>
        <w:rPr>
          <w:rFonts w:ascii="Times New Roman" w:hAnsi="Times New Roman" w:cs="Times New Roman"/>
          <w:sz w:val="24"/>
          <w:szCs w:val="24"/>
          <w:lang w:val="en-GB"/>
        </w:rPr>
      </w:pPr>
      <w:r w:rsidRPr="005A62AC">
        <w:rPr>
          <w:rFonts w:ascii="Times New Roman" w:hAnsi="Times New Roman" w:cs="Times New Roman"/>
          <w:sz w:val="24"/>
          <w:szCs w:val="24"/>
          <w:lang w:val="en-GB"/>
        </w:rPr>
        <w:t xml:space="preserve">For the accumulated frequency start from the highest </w:t>
      </w:r>
      <w:r w:rsidR="008D406C">
        <w:rPr>
          <w:rFonts w:ascii="Times New Roman" w:hAnsi="Times New Roman" w:cs="Times New Roman"/>
          <w:sz w:val="24"/>
          <w:szCs w:val="24"/>
          <w:lang w:val="en-GB"/>
        </w:rPr>
        <w:t>grade</w:t>
      </w:r>
      <w:r w:rsidRPr="005A62AC">
        <w:rPr>
          <w:rFonts w:ascii="Times New Roman" w:hAnsi="Times New Roman" w:cs="Times New Roman"/>
          <w:sz w:val="24"/>
          <w:szCs w:val="24"/>
          <w:lang w:val="en-GB"/>
        </w:rPr>
        <w:t xml:space="preserve">: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10</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10</w:t>
      </w:r>
      <w:r w:rsidRPr="00F01C4A">
        <w:rPr>
          <w:rFonts w:ascii="Times New Roman" w:hAnsi="Times New Roman" w:cs="Times New Roman"/>
          <w:sz w:val="24"/>
          <w:szCs w:val="24"/>
        </w:rPr>
        <w:t xml:space="preserve"> = 0 %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9</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 xml:space="preserve">10 </w:t>
      </w:r>
      <w:r w:rsidRPr="00F01C4A">
        <w:rPr>
          <w:rFonts w:ascii="Times New Roman" w:hAnsi="Times New Roman" w:cs="Times New Roman"/>
          <w:i/>
          <w:sz w:val="24"/>
          <w:szCs w:val="24"/>
        </w:rPr>
        <w:t>+</w:t>
      </w:r>
      <w:r w:rsidRPr="00F01C4A">
        <w:rPr>
          <w:rFonts w:ascii="Times New Roman" w:hAnsi="Times New Roman" w:cs="Times New Roman"/>
          <w:sz w:val="24"/>
          <w:szCs w:val="24"/>
        </w:rPr>
        <w:t xml:space="preserve">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9</w:t>
      </w:r>
      <w:r w:rsidRPr="00F01C4A">
        <w:rPr>
          <w:rFonts w:ascii="Times New Roman" w:hAnsi="Times New Roman" w:cs="Times New Roman"/>
          <w:sz w:val="24"/>
          <w:szCs w:val="24"/>
        </w:rPr>
        <w:t xml:space="preserve"> = 0 % + 1.75 % = 1.75 %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8</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 xml:space="preserve">9 </w:t>
      </w:r>
      <w:r w:rsidRPr="00F01C4A">
        <w:rPr>
          <w:rFonts w:ascii="Times New Roman" w:hAnsi="Times New Roman" w:cs="Times New Roman"/>
          <w:i/>
          <w:sz w:val="24"/>
          <w:szCs w:val="24"/>
        </w:rPr>
        <w:t>+</w:t>
      </w:r>
      <w:r w:rsidRPr="00F01C4A">
        <w:rPr>
          <w:rFonts w:ascii="Times New Roman" w:hAnsi="Times New Roman" w:cs="Times New Roman"/>
          <w:sz w:val="24"/>
          <w:szCs w:val="24"/>
        </w:rPr>
        <w:t xml:space="preserve">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8</w:t>
      </w:r>
      <w:r w:rsidRPr="00F01C4A">
        <w:rPr>
          <w:rFonts w:ascii="Times New Roman" w:hAnsi="Times New Roman" w:cs="Times New Roman"/>
          <w:sz w:val="24"/>
          <w:szCs w:val="24"/>
        </w:rPr>
        <w:t xml:space="preserve">  = 1.75 % + 3.51 % = 5.26 %</w:t>
      </w:r>
    </w:p>
    <w:p w:rsidR="00A76292" w:rsidRPr="002469D3" w:rsidRDefault="00A76292" w:rsidP="00A76292">
      <w:pPr>
        <w:spacing w:after="0" w:line="240" w:lineRule="auto"/>
        <w:ind w:left="1416"/>
        <w:jc w:val="both"/>
        <w:rPr>
          <w:rFonts w:ascii="Times New Roman" w:hAnsi="Times New Roman" w:cs="Times New Roman"/>
          <w:sz w:val="24"/>
          <w:szCs w:val="24"/>
          <w:lang w:val="en-GB"/>
        </w:rPr>
      </w:pPr>
      <w:r w:rsidRPr="002469D3">
        <w:rPr>
          <w:rFonts w:ascii="Times New Roman" w:hAnsi="Times New Roman" w:cs="Times New Roman"/>
          <w:i/>
          <w:sz w:val="24"/>
          <w:szCs w:val="24"/>
          <w:lang w:val="en-GB"/>
        </w:rPr>
        <w:t>Af</w:t>
      </w:r>
      <w:r w:rsidRPr="002469D3">
        <w:rPr>
          <w:rFonts w:ascii="Times New Roman" w:hAnsi="Times New Roman" w:cs="Times New Roman"/>
          <w:i/>
          <w:sz w:val="24"/>
          <w:szCs w:val="24"/>
          <w:vertAlign w:val="subscript"/>
          <w:lang w:val="en-GB"/>
        </w:rPr>
        <w:t>7</w:t>
      </w:r>
      <w:r w:rsidRPr="002469D3">
        <w:rPr>
          <w:rFonts w:ascii="Times New Roman" w:hAnsi="Times New Roman" w:cs="Times New Roman"/>
          <w:sz w:val="24"/>
          <w:szCs w:val="24"/>
          <w:lang w:val="en-GB"/>
        </w:rPr>
        <w:t xml:space="preserve"> = </w:t>
      </w:r>
      <w:r w:rsidRPr="002469D3">
        <w:rPr>
          <w:rFonts w:ascii="Times New Roman" w:hAnsi="Times New Roman" w:cs="Times New Roman"/>
          <w:i/>
          <w:sz w:val="24"/>
          <w:szCs w:val="24"/>
          <w:lang w:val="en-GB"/>
        </w:rPr>
        <w:t>Af</w:t>
      </w:r>
      <w:r w:rsidRPr="002469D3">
        <w:rPr>
          <w:rFonts w:ascii="Times New Roman" w:hAnsi="Times New Roman" w:cs="Times New Roman"/>
          <w:i/>
          <w:sz w:val="24"/>
          <w:szCs w:val="24"/>
          <w:vertAlign w:val="subscript"/>
          <w:lang w:val="en-GB"/>
        </w:rPr>
        <w:t xml:space="preserve">8 </w:t>
      </w:r>
      <w:r w:rsidRPr="002469D3">
        <w:rPr>
          <w:rFonts w:ascii="Times New Roman" w:hAnsi="Times New Roman" w:cs="Times New Roman"/>
          <w:i/>
          <w:sz w:val="24"/>
          <w:szCs w:val="24"/>
          <w:lang w:val="en-GB"/>
        </w:rPr>
        <w:t>+</w:t>
      </w:r>
      <w:r w:rsidRPr="002469D3">
        <w:rPr>
          <w:rFonts w:ascii="Times New Roman" w:hAnsi="Times New Roman" w:cs="Times New Roman"/>
          <w:sz w:val="24"/>
          <w:szCs w:val="24"/>
          <w:lang w:val="en-GB"/>
        </w:rPr>
        <w:t xml:space="preserve"> </w:t>
      </w: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7</w:t>
      </w:r>
      <w:r w:rsidRPr="002469D3">
        <w:rPr>
          <w:rFonts w:ascii="Times New Roman" w:hAnsi="Times New Roman" w:cs="Times New Roman"/>
          <w:sz w:val="24"/>
          <w:szCs w:val="24"/>
          <w:lang w:val="en-GB"/>
        </w:rPr>
        <w:t xml:space="preserve">  = 5.26 % + 3.51 % = 8.77 %</w:t>
      </w: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Default="00A76292" w:rsidP="00A76292">
      <w:pPr>
        <w:spacing w:after="0" w:line="240" w:lineRule="auto"/>
        <w:ind w:left="1416"/>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and so on, see table below</w:t>
      </w: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Pr="002469D3" w:rsidRDefault="00A76292" w:rsidP="00A76292">
      <w:pPr>
        <w:spacing w:after="0" w:line="240" w:lineRule="auto"/>
        <w:jc w:val="both"/>
        <w:rPr>
          <w:rFonts w:ascii="Times New Roman" w:hAnsi="Times New Roman" w:cs="Times New Roman"/>
          <w:sz w:val="24"/>
          <w:szCs w:val="24"/>
          <w:lang w:val="en-GB"/>
        </w:rPr>
      </w:pPr>
    </w:p>
    <w:tbl>
      <w:tblPr>
        <w:tblW w:w="542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0"/>
        <w:gridCol w:w="1120"/>
        <w:gridCol w:w="1460"/>
        <w:gridCol w:w="1880"/>
      </w:tblGrid>
      <w:tr w:rsidR="00A76292" w:rsidRPr="002469D3" w:rsidTr="00FF4B5B">
        <w:trPr>
          <w:trHeight w:val="300"/>
          <w:jc w:val="center"/>
        </w:trPr>
        <w:tc>
          <w:tcPr>
            <w:tcW w:w="960"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20"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 xml:space="preserve">Number of pass </w:t>
            </w:r>
            <w:r w:rsidR="008D406C">
              <w:rPr>
                <w:rFonts w:ascii="Times New Roman" w:eastAsia="Times New Roman" w:hAnsi="Times New Roman" w:cs="Times New Roman"/>
                <w:color w:val="000000"/>
                <w:sz w:val="24"/>
                <w:szCs w:val="24"/>
                <w:lang w:val="en-GB" w:eastAsia="zh-TW"/>
              </w:rPr>
              <w:t>grade</w:t>
            </w:r>
            <w:r>
              <w:rPr>
                <w:rFonts w:ascii="Times New Roman" w:eastAsia="Times New Roman" w:hAnsi="Times New Roman" w:cs="Times New Roman"/>
                <w:color w:val="000000"/>
                <w:sz w:val="24"/>
                <w:szCs w:val="24"/>
                <w:lang w:val="en-GB" w:eastAsia="zh-TW"/>
              </w:rPr>
              <w:t>s</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Frequency (%)</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Acc. Frequency (%)</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1.75</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3.51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5.26</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3.51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8.77</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bookmarkStart w:id="0" w:name="_GoBack" w:colFirst="4" w:colLast="4"/>
            <w:r w:rsidRPr="002469D3">
              <w:rPr>
                <w:rFonts w:ascii="Times New Roman" w:eastAsia="Times New Roman" w:hAnsi="Times New Roman" w:cs="Times New Roman"/>
                <w:color w:val="000000"/>
                <w:sz w:val="24"/>
                <w:szCs w:val="24"/>
                <w:lang w:val="en-GB" w:eastAsia="zh-TW"/>
              </w:rPr>
              <w:t>16</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557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14.04</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22.81</w:t>
            </w:r>
          </w:p>
        </w:tc>
      </w:tr>
      <w:bookmarkEnd w:id="0"/>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696</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17.54</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40.35</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348</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8.77</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49.12</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5.26</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54.38</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279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7.02</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61.4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905</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22.81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84.21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627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15.79</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100</w:t>
            </w:r>
          </w:p>
        </w:tc>
      </w:tr>
    </w:tbl>
    <w:p w:rsidR="007A750A" w:rsidRPr="001D2ED1" w:rsidRDefault="007A750A">
      <w:pPr>
        <w:rPr>
          <w:b/>
          <w:lang w:val="en-GB"/>
        </w:rPr>
      </w:pPr>
    </w:p>
    <w:sectPr w:rsidR="007A750A" w:rsidRPr="001D2ED1" w:rsidSect="00E93D4E">
      <w:footerReference w:type="default" r:id="rId9"/>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5B" w:rsidRDefault="000D5C5B" w:rsidP="00571629">
      <w:pPr>
        <w:spacing w:after="0" w:line="240" w:lineRule="auto"/>
      </w:pPr>
      <w:r>
        <w:separator/>
      </w:r>
    </w:p>
  </w:endnote>
  <w:endnote w:type="continuationSeparator" w:id="0">
    <w:p w:rsidR="000D5C5B" w:rsidRDefault="000D5C5B" w:rsidP="0057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Consol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B4" w:rsidRDefault="0054310E" w:rsidP="00571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Last update </w:t>
    </w:r>
    <w:r w:rsidR="00360CB4">
      <w:rPr>
        <w:rFonts w:asciiTheme="majorHAnsi" w:eastAsiaTheme="majorEastAsia" w:hAnsiTheme="majorHAnsi" w:cstheme="majorBidi"/>
      </w:rPr>
      <w:t xml:space="preserve"> 28 07 2016</w:t>
    </w:r>
  </w:p>
  <w:p w:rsidR="000A6449" w:rsidRPr="00571629" w:rsidRDefault="000A6449" w:rsidP="00571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nl-NL"/>
      </w:rPr>
      <w:t xml:space="preserve">Page </w:t>
    </w:r>
    <w:r>
      <w:rPr>
        <w:rFonts w:eastAsiaTheme="minorEastAsia"/>
      </w:rPr>
      <w:fldChar w:fldCharType="begin"/>
    </w:r>
    <w:r>
      <w:instrText>PAGE   \* MERGEFORMAT</w:instrText>
    </w:r>
    <w:r>
      <w:rPr>
        <w:rFonts w:eastAsiaTheme="minorEastAsia"/>
      </w:rPr>
      <w:fldChar w:fldCharType="separate"/>
    </w:r>
    <w:r w:rsidR="009537B7" w:rsidRPr="009537B7">
      <w:rPr>
        <w:rFonts w:asciiTheme="majorHAnsi" w:eastAsiaTheme="majorEastAsia" w:hAnsiTheme="majorHAnsi" w:cstheme="majorBidi"/>
        <w:noProof/>
        <w:lang w:val="nl-NL"/>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5B" w:rsidRDefault="000D5C5B" w:rsidP="00571629">
      <w:pPr>
        <w:spacing w:after="0" w:line="240" w:lineRule="auto"/>
      </w:pPr>
      <w:r>
        <w:separator/>
      </w:r>
    </w:p>
  </w:footnote>
  <w:footnote w:type="continuationSeparator" w:id="0">
    <w:p w:rsidR="000D5C5B" w:rsidRDefault="000D5C5B" w:rsidP="00571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8A7"/>
    <w:multiLevelType w:val="hybridMultilevel"/>
    <w:tmpl w:val="00448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A97C7B"/>
    <w:multiLevelType w:val="hybridMultilevel"/>
    <w:tmpl w:val="B5FE4C16"/>
    <w:lvl w:ilvl="0" w:tplc="4D541B1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5D4B52"/>
    <w:multiLevelType w:val="hybridMultilevel"/>
    <w:tmpl w:val="A99C54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170531"/>
    <w:multiLevelType w:val="hybridMultilevel"/>
    <w:tmpl w:val="22322F5C"/>
    <w:lvl w:ilvl="0" w:tplc="08130001">
      <w:start w:val="1"/>
      <w:numFmt w:val="bullet"/>
      <w:lvlText w:val=""/>
      <w:lvlJc w:val="left"/>
      <w:pPr>
        <w:ind w:left="644" w:hanging="360"/>
      </w:pPr>
      <w:rPr>
        <w:rFonts w:ascii="Symbol" w:hAnsi="Symbol"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31E5CF9"/>
    <w:multiLevelType w:val="hybridMultilevel"/>
    <w:tmpl w:val="09F081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B268E1"/>
    <w:multiLevelType w:val="hybridMultilevel"/>
    <w:tmpl w:val="9B244F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FC1CC6"/>
    <w:multiLevelType w:val="hybridMultilevel"/>
    <w:tmpl w:val="212E6002"/>
    <w:lvl w:ilvl="0" w:tplc="D6F61D80">
      <w:start w:val="1"/>
      <w:numFmt w:val="decimal"/>
      <w:lvlText w:val="%1."/>
      <w:lvlJc w:val="left"/>
      <w:pPr>
        <w:ind w:left="218" w:hanging="36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7" w15:restartNumberingAfterBreak="0">
    <w:nsid w:val="61391DAE"/>
    <w:multiLevelType w:val="hybridMultilevel"/>
    <w:tmpl w:val="C6F097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C03BE9"/>
    <w:multiLevelType w:val="hybridMultilevel"/>
    <w:tmpl w:val="35D46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481287"/>
    <w:multiLevelType w:val="hybridMultilevel"/>
    <w:tmpl w:val="6CC082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D9339F"/>
    <w:multiLevelType w:val="hybridMultilevel"/>
    <w:tmpl w:val="D2E092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5"/>
  </w:num>
  <w:num w:numId="3">
    <w:abstractNumId w:val="8"/>
  </w:num>
  <w:num w:numId="4">
    <w:abstractNumId w:val="0"/>
  </w:num>
  <w:num w:numId="5">
    <w:abstractNumId w:val="9"/>
  </w:num>
  <w:num w:numId="6">
    <w:abstractNumId w:val="10"/>
  </w:num>
  <w:num w:numId="7">
    <w:abstractNumId w:val="3"/>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F7"/>
    <w:rsid w:val="000245E3"/>
    <w:rsid w:val="0003157F"/>
    <w:rsid w:val="00032979"/>
    <w:rsid w:val="00065B18"/>
    <w:rsid w:val="00066382"/>
    <w:rsid w:val="00077DF7"/>
    <w:rsid w:val="000A6449"/>
    <w:rsid w:val="000C34DC"/>
    <w:rsid w:val="000D5C5B"/>
    <w:rsid w:val="00132A5A"/>
    <w:rsid w:val="001503F3"/>
    <w:rsid w:val="001518A2"/>
    <w:rsid w:val="001545E4"/>
    <w:rsid w:val="001661E5"/>
    <w:rsid w:val="00170ADC"/>
    <w:rsid w:val="001D2ED1"/>
    <w:rsid w:val="00243419"/>
    <w:rsid w:val="00244AEF"/>
    <w:rsid w:val="002714C9"/>
    <w:rsid w:val="00283DF3"/>
    <w:rsid w:val="002E142F"/>
    <w:rsid w:val="00336DF8"/>
    <w:rsid w:val="00360CB4"/>
    <w:rsid w:val="0039226C"/>
    <w:rsid w:val="003F5F88"/>
    <w:rsid w:val="00415D56"/>
    <w:rsid w:val="004832CB"/>
    <w:rsid w:val="004872C1"/>
    <w:rsid w:val="004D300C"/>
    <w:rsid w:val="0054310E"/>
    <w:rsid w:val="00571629"/>
    <w:rsid w:val="0058012B"/>
    <w:rsid w:val="00585EA0"/>
    <w:rsid w:val="00587C7A"/>
    <w:rsid w:val="005E65F9"/>
    <w:rsid w:val="005F3464"/>
    <w:rsid w:val="005F65CC"/>
    <w:rsid w:val="00615F0D"/>
    <w:rsid w:val="00620E51"/>
    <w:rsid w:val="00634201"/>
    <w:rsid w:val="00661751"/>
    <w:rsid w:val="006D66FF"/>
    <w:rsid w:val="006E06A3"/>
    <w:rsid w:val="006F322E"/>
    <w:rsid w:val="00755339"/>
    <w:rsid w:val="007730A8"/>
    <w:rsid w:val="007A750A"/>
    <w:rsid w:val="007D1B11"/>
    <w:rsid w:val="007F2343"/>
    <w:rsid w:val="008100EB"/>
    <w:rsid w:val="0084608E"/>
    <w:rsid w:val="0084647B"/>
    <w:rsid w:val="00876B6A"/>
    <w:rsid w:val="008A45D5"/>
    <w:rsid w:val="008B0BDF"/>
    <w:rsid w:val="008C648F"/>
    <w:rsid w:val="008D406C"/>
    <w:rsid w:val="00927A60"/>
    <w:rsid w:val="009537B7"/>
    <w:rsid w:val="0098749A"/>
    <w:rsid w:val="009B2063"/>
    <w:rsid w:val="009D1C18"/>
    <w:rsid w:val="00A1417D"/>
    <w:rsid w:val="00A32093"/>
    <w:rsid w:val="00A40D6D"/>
    <w:rsid w:val="00A61D96"/>
    <w:rsid w:val="00A76292"/>
    <w:rsid w:val="00A84ECE"/>
    <w:rsid w:val="00A85B6E"/>
    <w:rsid w:val="00AA006A"/>
    <w:rsid w:val="00AA4920"/>
    <w:rsid w:val="00AA67DC"/>
    <w:rsid w:val="00AE6518"/>
    <w:rsid w:val="00AF7AC3"/>
    <w:rsid w:val="00B20B97"/>
    <w:rsid w:val="00B54A10"/>
    <w:rsid w:val="00BE3C14"/>
    <w:rsid w:val="00BF6303"/>
    <w:rsid w:val="00C348FA"/>
    <w:rsid w:val="00C35DD3"/>
    <w:rsid w:val="00CE5FF8"/>
    <w:rsid w:val="00D3377F"/>
    <w:rsid w:val="00D379F4"/>
    <w:rsid w:val="00DD131B"/>
    <w:rsid w:val="00DE205E"/>
    <w:rsid w:val="00DF1392"/>
    <w:rsid w:val="00DF3935"/>
    <w:rsid w:val="00DF6C89"/>
    <w:rsid w:val="00E332C8"/>
    <w:rsid w:val="00E81B0E"/>
    <w:rsid w:val="00E93D4E"/>
    <w:rsid w:val="00F21560"/>
    <w:rsid w:val="00F52F7F"/>
    <w:rsid w:val="00F76EF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01929D-16B9-4689-A5A3-2A214631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ED1"/>
    <w:pPr>
      <w:keepNext/>
      <w:keepLines/>
      <w:spacing w:before="480" w:after="0"/>
      <w:outlineLvl w:val="0"/>
    </w:pPr>
    <w:rPr>
      <w:rFonts w:asciiTheme="majorHAnsi" w:eastAsiaTheme="majorEastAsia" w:hAnsiTheme="majorHAnsi" w:cstheme="majorBidi"/>
      <w:b/>
      <w:bCs/>
      <w:color w:val="365F91" w:themeColor="accent1" w:themeShade="BF"/>
      <w:sz w:val="32"/>
      <w:szCs w:val="28"/>
      <w:lang w:val="it-IT"/>
    </w:rPr>
  </w:style>
  <w:style w:type="paragraph" w:styleId="Heading2">
    <w:name w:val="heading 2"/>
    <w:basedOn w:val="Normal"/>
    <w:next w:val="Normal"/>
    <w:link w:val="Heading2Char"/>
    <w:uiPriority w:val="9"/>
    <w:unhideWhenUsed/>
    <w:qFormat/>
    <w:rsid w:val="001D2ED1"/>
    <w:pPr>
      <w:keepNext/>
      <w:keepLines/>
      <w:spacing w:before="200" w:after="0"/>
      <w:outlineLvl w:val="1"/>
    </w:pPr>
    <w:rPr>
      <w:rFonts w:asciiTheme="majorHAnsi" w:eastAsiaTheme="majorEastAsia" w:hAnsiTheme="majorHAnsi" w:cstheme="majorBidi"/>
      <w:b/>
      <w:bCs/>
      <w:color w:val="4F81BD" w:themeColor="accent1"/>
      <w:sz w:val="28"/>
      <w:szCs w:val="2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DF7"/>
    <w:rPr>
      <w:color w:val="0000FF" w:themeColor="hyperlink"/>
      <w:u w:val="single"/>
    </w:rPr>
  </w:style>
  <w:style w:type="paragraph" w:styleId="ListParagraph">
    <w:name w:val="List Paragraph"/>
    <w:basedOn w:val="Normal"/>
    <w:uiPriority w:val="34"/>
    <w:qFormat/>
    <w:rsid w:val="0039226C"/>
    <w:pPr>
      <w:ind w:left="720"/>
      <w:contextualSpacing/>
    </w:pPr>
  </w:style>
  <w:style w:type="paragraph" w:styleId="BalloonText">
    <w:name w:val="Balloon Text"/>
    <w:basedOn w:val="Normal"/>
    <w:link w:val="BalloonTextChar"/>
    <w:uiPriority w:val="99"/>
    <w:semiHidden/>
    <w:unhideWhenUsed/>
    <w:rsid w:val="001661E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61E5"/>
    <w:rPr>
      <w:rFonts w:ascii="Lucida Grande" w:hAnsi="Lucida Grande"/>
      <w:sz w:val="18"/>
      <w:szCs w:val="18"/>
    </w:rPr>
  </w:style>
  <w:style w:type="paragraph" w:styleId="Header">
    <w:name w:val="header"/>
    <w:basedOn w:val="Normal"/>
    <w:link w:val="HeaderChar"/>
    <w:uiPriority w:val="99"/>
    <w:unhideWhenUsed/>
    <w:rsid w:val="005716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629"/>
  </w:style>
  <w:style w:type="paragraph" w:styleId="Footer">
    <w:name w:val="footer"/>
    <w:basedOn w:val="Normal"/>
    <w:link w:val="FooterChar"/>
    <w:uiPriority w:val="99"/>
    <w:unhideWhenUsed/>
    <w:rsid w:val="005716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629"/>
  </w:style>
  <w:style w:type="character" w:customStyle="1" w:styleId="Heading1Char">
    <w:name w:val="Heading 1 Char"/>
    <w:basedOn w:val="DefaultParagraphFont"/>
    <w:link w:val="Heading1"/>
    <w:uiPriority w:val="9"/>
    <w:rsid w:val="001D2ED1"/>
    <w:rPr>
      <w:rFonts w:asciiTheme="majorHAnsi" w:eastAsiaTheme="majorEastAsia" w:hAnsiTheme="majorHAnsi" w:cstheme="majorBidi"/>
      <w:b/>
      <w:bCs/>
      <w:color w:val="365F91" w:themeColor="accent1" w:themeShade="BF"/>
      <w:sz w:val="32"/>
      <w:szCs w:val="28"/>
      <w:lang w:val="it-IT"/>
    </w:rPr>
  </w:style>
  <w:style w:type="character" w:customStyle="1" w:styleId="Heading2Char">
    <w:name w:val="Heading 2 Char"/>
    <w:basedOn w:val="DefaultParagraphFont"/>
    <w:link w:val="Heading2"/>
    <w:uiPriority w:val="9"/>
    <w:rsid w:val="001D2ED1"/>
    <w:rPr>
      <w:rFonts w:asciiTheme="majorHAnsi" w:eastAsiaTheme="majorEastAsia" w:hAnsiTheme="majorHAnsi" w:cstheme="majorBidi"/>
      <w:b/>
      <w:bCs/>
      <w:color w:val="4F81BD" w:themeColor="accent1"/>
      <w:sz w:val="28"/>
      <w:szCs w:val="26"/>
      <w:lang w:val="it-IT"/>
    </w:rPr>
  </w:style>
  <w:style w:type="character" w:styleId="FollowedHyperlink">
    <w:name w:val="FollowedHyperlink"/>
    <w:basedOn w:val="DefaultParagraphFont"/>
    <w:uiPriority w:val="99"/>
    <w:semiHidden/>
    <w:unhideWhenUsed/>
    <w:rsid w:val="008B0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185">
      <w:bodyDiv w:val="1"/>
      <w:marLeft w:val="0"/>
      <w:marRight w:val="0"/>
      <w:marTop w:val="0"/>
      <w:marBottom w:val="0"/>
      <w:divBdr>
        <w:top w:val="none" w:sz="0" w:space="0" w:color="auto"/>
        <w:left w:val="none" w:sz="0" w:space="0" w:color="auto"/>
        <w:bottom w:val="none" w:sz="0" w:space="0" w:color="auto"/>
        <w:right w:val="none" w:sz="0" w:space="0" w:color="auto"/>
      </w:divBdr>
    </w:div>
    <w:div w:id="634333635">
      <w:bodyDiv w:val="1"/>
      <w:marLeft w:val="0"/>
      <w:marRight w:val="0"/>
      <w:marTop w:val="0"/>
      <w:marBottom w:val="0"/>
      <w:divBdr>
        <w:top w:val="none" w:sz="0" w:space="0" w:color="auto"/>
        <w:left w:val="none" w:sz="0" w:space="0" w:color="auto"/>
        <w:bottom w:val="none" w:sz="0" w:space="0" w:color="auto"/>
        <w:right w:val="none" w:sz="0" w:space="0" w:color="auto"/>
      </w:divBdr>
    </w:div>
    <w:div w:id="845829316">
      <w:bodyDiv w:val="1"/>
      <w:marLeft w:val="0"/>
      <w:marRight w:val="0"/>
      <w:marTop w:val="0"/>
      <w:marBottom w:val="0"/>
      <w:divBdr>
        <w:top w:val="none" w:sz="0" w:space="0" w:color="auto"/>
        <w:left w:val="none" w:sz="0" w:space="0" w:color="auto"/>
        <w:bottom w:val="none" w:sz="0" w:space="0" w:color="auto"/>
        <w:right w:val="none" w:sz="0" w:space="0" w:color="auto"/>
      </w:divBdr>
    </w:div>
    <w:div w:id="1053773898">
      <w:bodyDiv w:val="1"/>
      <w:marLeft w:val="0"/>
      <w:marRight w:val="0"/>
      <w:marTop w:val="0"/>
      <w:marBottom w:val="0"/>
      <w:divBdr>
        <w:top w:val="none" w:sz="0" w:space="0" w:color="auto"/>
        <w:left w:val="none" w:sz="0" w:space="0" w:color="auto"/>
        <w:bottom w:val="none" w:sz="0" w:space="0" w:color="auto"/>
        <w:right w:val="none" w:sz="0" w:space="0" w:color="auto"/>
      </w:divBdr>
    </w:div>
    <w:div w:id="1160267687">
      <w:bodyDiv w:val="1"/>
      <w:marLeft w:val="0"/>
      <w:marRight w:val="0"/>
      <w:marTop w:val="0"/>
      <w:marBottom w:val="0"/>
      <w:divBdr>
        <w:top w:val="none" w:sz="0" w:space="0" w:color="auto"/>
        <w:left w:val="none" w:sz="0" w:space="0" w:color="auto"/>
        <w:bottom w:val="none" w:sz="0" w:space="0" w:color="auto"/>
        <w:right w:val="none" w:sz="0" w:space="0" w:color="auto"/>
      </w:divBdr>
    </w:div>
    <w:div w:id="1229994027">
      <w:bodyDiv w:val="1"/>
      <w:marLeft w:val="0"/>
      <w:marRight w:val="0"/>
      <w:marTop w:val="0"/>
      <w:marBottom w:val="0"/>
      <w:divBdr>
        <w:top w:val="none" w:sz="0" w:space="0" w:color="auto"/>
        <w:left w:val="none" w:sz="0" w:space="0" w:color="auto"/>
        <w:bottom w:val="none" w:sz="0" w:space="0" w:color="auto"/>
        <w:right w:val="none" w:sz="0" w:space="0" w:color="auto"/>
      </w:divBdr>
    </w:div>
    <w:div w:id="1253205311">
      <w:bodyDiv w:val="1"/>
      <w:marLeft w:val="0"/>
      <w:marRight w:val="0"/>
      <w:marTop w:val="0"/>
      <w:marBottom w:val="0"/>
      <w:divBdr>
        <w:top w:val="none" w:sz="0" w:space="0" w:color="auto"/>
        <w:left w:val="none" w:sz="0" w:space="0" w:color="auto"/>
        <w:bottom w:val="none" w:sz="0" w:space="0" w:color="auto"/>
        <w:right w:val="none" w:sz="0" w:space="0" w:color="auto"/>
      </w:divBdr>
    </w:div>
    <w:div w:id="1387533064">
      <w:bodyDiv w:val="1"/>
      <w:marLeft w:val="0"/>
      <w:marRight w:val="0"/>
      <w:marTop w:val="0"/>
      <w:marBottom w:val="0"/>
      <w:divBdr>
        <w:top w:val="none" w:sz="0" w:space="0" w:color="auto"/>
        <w:left w:val="none" w:sz="0" w:space="0" w:color="auto"/>
        <w:bottom w:val="none" w:sz="0" w:space="0" w:color="auto"/>
        <w:right w:val="none" w:sz="0" w:space="0" w:color="auto"/>
      </w:divBdr>
    </w:div>
    <w:div w:id="1444224173">
      <w:bodyDiv w:val="1"/>
      <w:marLeft w:val="0"/>
      <w:marRight w:val="0"/>
      <w:marTop w:val="0"/>
      <w:marBottom w:val="0"/>
      <w:divBdr>
        <w:top w:val="none" w:sz="0" w:space="0" w:color="auto"/>
        <w:left w:val="none" w:sz="0" w:space="0" w:color="auto"/>
        <w:bottom w:val="none" w:sz="0" w:space="0" w:color="auto"/>
        <w:right w:val="none" w:sz="0" w:space="0" w:color="auto"/>
      </w:divBdr>
    </w:div>
    <w:div w:id="1449080936">
      <w:bodyDiv w:val="1"/>
      <w:marLeft w:val="0"/>
      <w:marRight w:val="0"/>
      <w:marTop w:val="0"/>
      <w:marBottom w:val="0"/>
      <w:divBdr>
        <w:top w:val="none" w:sz="0" w:space="0" w:color="auto"/>
        <w:left w:val="none" w:sz="0" w:space="0" w:color="auto"/>
        <w:bottom w:val="none" w:sz="0" w:space="0" w:color="auto"/>
        <w:right w:val="none" w:sz="0" w:space="0" w:color="auto"/>
      </w:divBdr>
    </w:div>
    <w:div w:id="1587416156">
      <w:bodyDiv w:val="1"/>
      <w:marLeft w:val="0"/>
      <w:marRight w:val="0"/>
      <w:marTop w:val="0"/>
      <w:marBottom w:val="0"/>
      <w:divBdr>
        <w:top w:val="none" w:sz="0" w:space="0" w:color="auto"/>
        <w:left w:val="none" w:sz="0" w:space="0" w:color="auto"/>
        <w:bottom w:val="none" w:sz="0" w:space="0" w:color="auto"/>
        <w:right w:val="none" w:sz="0" w:space="0" w:color="auto"/>
      </w:divBdr>
    </w:div>
    <w:div w:id="1702168401">
      <w:bodyDiv w:val="1"/>
      <w:marLeft w:val="0"/>
      <w:marRight w:val="0"/>
      <w:marTop w:val="0"/>
      <w:marBottom w:val="0"/>
      <w:divBdr>
        <w:top w:val="none" w:sz="0" w:space="0" w:color="auto"/>
        <w:left w:val="none" w:sz="0" w:space="0" w:color="auto"/>
        <w:bottom w:val="none" w:sz="0" w:space="0" w:color="auto"/>
        <w:right w:val="none" w:sz="0" w:space="0" w:color="auto"/>
      </w:divBdr>
    </w:div>
    <w:div w:id="1786076458">
      <w:bodyDiv w:val="1"/>
      <w:marLeft w:val="0"/>
      <w:marRight w:val="0"/>
      <w:marTop w:val="0"/>
      <w:marBottom w:val="0"/>
      <w:divBdr>
        <w:top w:val="none" w:sz="0" w:space="0" w:color="auto"/>
        <w:left w:val="none" w:sz="0" w:space="0" w:color="auto"/>
        <w:bottom w:val="none" w:sz="0" w:space="0" w:color="auto"/>
        <w:right w:val="none" w:sz="0" w:space="0" w:color="auto"/>
      </w:divBdr>
    </w:div>
    <w:div w:id="18982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meus\AppData\Local\Temp\egracons.eu\sites\default\files\Grading_Table_Data_Template_Instructions_2016_7_28.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UGent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Mara</cp:lastModifiedBy>
  <cp:revision>2</cp:revision>
  <dcterms:created xsi:type="dcterms:W3CDTF">2019-10-11T10:55:00Z</dcterms:created>
  <dcterms:modified xsi:type="dcterms:W3CDTF">2019-10-11T10:55:00Z</dcterms:modified>
</cp:coreProperties>
</file>