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AC" w:rsidRDefault="00E12CAC" w:rsidP="002D602E">
      <w:pPr>
        <w:rPr>
          <w:b/>
          <w:lang w:val="en-GB"/>
        </w:rPr>
      </w:pPr>
      <w:r>
        <w:rPr>
          <w:b/>
          <w:lang w:val="en-GB"/>
        </w:rPr>
        <w:t>ANNEX TO THE MISSION REPORT</w:t>
      </w:r>
    </w:p>
    <w:p w:rsidR="005A1E3A" w:rsidRPr="007F6F28" w:rsidRDefault="00754ADB" w:rsidP="002D602E">
      <w:pPr>
        <w:rPr>
          <w:b/>
          <w:lang w:val="en-GB"/>
        </w:rPr>
      </w:pPr>
      <w:r>
        <w:rPr>
          <w:b/>
          <w:lang w:val="en-GB"/>
        </w:rPr>
        <w:t>REC</w:t>
      </w:r>
      <w:r w:rsidR="005A1E3A" w:rsidRPr="007F6F28">
        <w:rPr>
          <w:b/>
          <w:lang w:val="en-GB"/>
        </w:rPr>
        <w:t>OM</w:t>
      </w:r>
      <w:r>
        <w:rPr>
          <w:b/>
          <w:lang w:val="en-GB"/>
        </w:rPr>
        <w:t>M</w:t>
      </w:r>
      <w:r w:rsidR="005A1E3A" w:rsidRPr="007F6F28">
        <w:rPr>
          <w:b/>
          <w:lang w:val="en-GB"/>
        </w:rPr>
        <w:t>ENDATIONS</w:t>
      </w:r>
      <w:r w:rsidR="00E12CAC">
        <w:rPr>
          <w:b/>
          <w:lang w:val="en-GB"/>
        </w:rPr>
        <w:t xml:space="preserve"> TO THE DEPARTMENT OF ACCREDITATION AND NOSTRIFICATION</w:t>
      </w:r>
      <w:r w:rsidR="00167E48">
        <w:rPr>
          <w:b/>
          <w:lang w:val="en-GB"/>
        </w:rPr>
        <w:t xml:space="preserve"> (ANO)</w:t>
      </w:r>
    </w:p>
    <w:p w:rsidR="002D602E" w:rsidRPr="007F6F28" w:rsidRDefault="00167E48" w:rsidP="002E4F72">
      <w:pPr>
        <w:jc w:val="both"/>
        <w:rPr>
          <w:lang w:val="en-GB"/>
        </w:rPr>
      </w:pPr>
      <w:r>
        <w:rPr>
          <w:lang w:val="en-GB"/>
        </w:rPr>
        <w:t>S</w:t>
      </w:r>
      <w:r w:rsidR="00BE660C" w:rsidRPr="007F6F28">
        <w:rPr>
          <w:lang w:val="en-GB"/>
        </w:rPr>
        <w:t xml:space="preserve">ome aspects of the </w:t>
      </w:r>
      <w:r w:rsidR="002D602E" w:rsidRPr="007F6F28">
        <w:rPr>
          <w:lang w:val="en-GB"/>
        </w:rPr>
        <w:t xml:space="preserve">ANO </w:t>
      </w:r>
      <w:r w:rsidR="00BE660C" w:rsidRPr="007F6F28">
        <w:rPr>
          <w:lang w:val="en-GB"/>
        </w:rPr>
        <w:t xml:space="preserve">recognition procedure </w:t>
      </w:r>
      <w:r>
        <w:rPr>
          <w:lang w:val="en-GB"/>
        </w:rPr>
        <w:t>are</w:t>
      </w:r>
      <w:r w:rsidR="00BE660C" w:rsidRPr="007F6F28">
        <w:rPr>
          <w:lang w:val="en-GB"/>
        </w:rPr>
        <w:t xml:space="preserve"> not in</w:t>
      </w:r>
      <w:r w:rsidR="002D0AF9" w:rsidRPr="007F6F28">
        <w:rPr>
          <w:lang w:val="en-GB"/>
        </w:rPr>
        <w:t>-</w:t>
      </w:r>
      <w:r w:rsidR="00BE660C" w:rsidRPr="007F6F28">
        <w:rPr>
          <w:lang w:val="en-GB"/>
        </w:rPr>
        <w:t>line with the Lisbon Recognition Convention and its subsidiary texts</w:t>
      </w:r>
      <w:r w:rsidR="0022469E" w:rsidRPr="007F6F28">
        <w:rPr>
          <w:lang w:val="en-GB"/>
        </w:rPr>
        <w:t xml:space="preserve"> and represent a</w:t>
      </w:r>
      <w:r w:rsidR="0054679E" w:rsidRPr="007F6F28">
        <w:rPr>
          <w:lang w:val="en-GB"/>
        </w:rPr>
        <w:t>n outdated</w:t>
      </w:r>
      <w:r w:rsidR="0022469E" w:rsidRPr="007F6F28">
        <w:rPr>
          <w:lang w:val="en-GB"/>
        </w:rPr>
        <w:t xml:space="preserve"> practice that is no longer applied (looking at the contents of the programme subject by subject). </w:t>
      </w:r>
      <w:r>
        <w:rPr>
          <w:lang w:val="en-GB"/>
        </w:rPr>
        <w:t>It was also noticed that</w:t>
      </w:r>
      <w:r w:rsidR="0054679E" w:rsidRPr="007F6F28">
        <w:rPr>
          <w:lang w:val="en-GB"/>
        </w:rPr>
        <w:t xml:space="preserve"> </w:t>
      </w:r>
      <w:r>
        <w:rPr>
          <w:lang w:val="en-GB"/>
        </w:rPr>
        <w:t>r</w:t>
      </w:r>
      <w:r w:rsidR="0054679E" w:rsidRPr="007F6F28">
        <w:rPr>
          <w:lang w:val="en-GB"/>
        </w:rPr>
        <w:t xml:space="preserve">ecognition decisions </w:t>
      </w:r>
      <w:r>
        <w:rPr>
          <w:lang w:val="en-GB"/>
        </w:rPr>
        <w:t>may be</w:t>
      </w:r>
      <w:r w:rsidR="0054679E" w:rsidRPr="007F6F28">
        <w:rPr>
          <w:lang w:val="en-GB"/>
        </w:rPr>
        <w:t xml:space="preserve"> based not </w:t>
      </w:r>
      <w:r>
        <w:rPr>
          <w:lang w:val="en-GB"/>
        </w:rPr>
        <w:t xml:space="preserve">only </w:t>
      </w:r>
      <w:r w:rsidR="0054679E" w:rsidRPr="007F6F28">
        <w:rPr>
          <w:lang w:val="en-GB"/>
        </w:rPr>
        <w:t xml:space="preserve">on the research into the foreign systems of education and their comparability to the national system (as is the usual practice), but </w:t>
      </w:r>
      <w:r>
        <w:rPr>
          <w:lang w:val="en-GB"/>
        </w:rPr>
        <w:t xml:space="preserve">also </w:t>
      </w:r>
      <w:r w:rsidR="0054679E" w:rsidRPr="007F6F28">
        <w:rPr>
          <w:lang w:val="en-GB"/>
        </w:rPr>
        <w:t xml:space="preserve">on certain technical steps in the recognition procedure (verifying language skills and checking border crossings). </w:t>
      </w:r>
    </w:p>
    <w:p w:rsidR="00B64C17" w:rsidRPr="007F6F28" w:rsidRDefault="00B64C17" w:rsidP="002E4F72">
      <w:pPr>
        <w:jc w:val="both"/>
        <w:rPr>
          <w:lang w:val="en-GB"/>
        </w:rPr>
      </w:pPr>
      <w:r w:rsidRPr="007F6F28">
        <w:rPr>
          <w:lang w:val="en-GB"/>
        </w:rPr>
        <w:t xml:space="preserve">The following steps should be taken to ensure that ANO’s practice is in line with the Lisbon Recognition Convention and </w:t>
      </w:r>
      <w:r w:rsidR="00B93A11" w:rsidRPr="007F6F28">
        <w:rPr>
          <w:lang w:val="en-GB"/>
        </w:rPr>
        <w:t>bet recognition practice in the European Higher Education Area:</w:t>
      </w:r>
    </w:p>
    <w:p w:rsidR="00684274" w:rsidRPr="007F6F28" w:rsidRDefault="00016BBE" w:rsidP="002E4F72">
      <w:pPr>
        <w:jc w:val="both"/>
        <w:rPr>
          <w:i/>
          <w:lang w:val="en-GB"/>
        </w:rPr>
      </w:pPr>
      <w:r w:rsidRPr="007F6F28">
        <w:rPr>
          <w:i/>
          <w:lang w:val="en-GB"/>
        </w:rPr>
        <w:t xml:space="preserve">Eliminating </w:t>
      </w:r>
      <w:proofErr w:type="spellStart"/>
      <w:r w:rsidRPr="007F6F28">
        <w:rPr>
          <w:i/>
          <w:lang w:val="en-GB"/>
        </w:rPr>
        <w:t>nostrification</w:t>
      </w:r>
      <w:proofErr w:type="spellEnd"/>
      <w:r w:rsidRPr="007F6F28">
        <w:rPr>
          <w:i/>
          <w:lang w:val="en-GB"/>
        </w:rPr>
        <w:t xml:space="preserve"> and transitioning to</w:t>
      </w:r>
      <w:r w:rsidR="00684274" w:rsidRPr="007F6F28">
        <w:rPr>
          <w:i/>
          <w:lang w:val="en-GB"/>
        </w:rPr>
        <w:t xml:space="preserve"> recognition</w:t>
      </w:r>
      <w:r w:rsidRPr="007F6F28">
        <w:rPr>
          <w:i/>
          <w:lang w:val="en-GB"/>
        </w:rPr>
        <w:t xml:space="preserve"> based on learning outcomes</w:t>
      </w:r>
    </w:p>
    <w:p w:rsidR="00684274" w:rsidRPr="007F6F28" w:rsidRDefault="00016BBE" w:rsidP="002E4F72">
      <w:pPr>
        <w:jc w:val="both"/>
        <w:rPr>
          <w:lang w:val="en-GB"/>
        </w:rPr>
      </w:pPr>
      <w:r w:rsidRPr="007F6F28">
        <w:rPr>
          <w:lang w:val="en-GB"/>
        </w:rPr>
        <w:t>Contents of the programme are no longer</w:t>
      </w:r>
      <w:r w:rsidR="00684274" w:rsidRPr="007F6F28">
        <w:rPr>
          <w:lang w:val="en-GB"/>
        </w:rPr>
        <w:t xml:space="preserve"> one of the criteria used for recognition in t</w:t>
      </w:r>
      <w:r w:rsidRPr="007F6F28">
        <w:rPr>
          <w:lang w:val="en-GB"/>
        </w:rPr>
        <w:t xml:space="preserve">he best </w:t>
      </w:r>
      <w:r w:rsidR="00167E48">
        <w:rPr>
          <w:lang w:val="en-GB"/>
        </w:rPr>
        <w:t xml:space="preserve">recognition </w:t>
      </w:r>
      <w:r w:rsidRPr="007F6F28">
        <w:rPr>
          <w:lang w:val="en-GB"/>
        </w:rPr>
        <w:t xml:space="preserve">practice </w:t>
      </w:r>
      <w:r w:rsidR="00167E48">
        <w:rPr>
          <w:lang w:val="en-GB"/>
        </w:rPr>
        <w:t>in</w:t>
      </w:r>
      <w:r w:rsidRPr="007F6F28">
        <w:rPr>
          <w:lang w:val="en-GB"/>
        </w:rPr>
        <w:t xml:space="preserve"> the E</w:t>
      </w:r>
      <w:r w:rsidR="00167E48">
        <w:rPr>
          <w:lang w:val="en-GB"/>
        </w:rPr>
        <w:t xml:space="preserve">uropean </w:t>
      </w:r>
      <w:r w:rsidRPr="007F6F28">
        <w:rPr>
          <w:lang w:val="en-GB"/>
        </w:rPr>
        <w:t>H</w:t>
      </w:r>
      <w:r w:rsidR="00167E48">
        <w:rPr>
          <w:lang w:val="en-GB"/>
        </w:rPr>
        <w:t xml:space="preserve">igher </w:t>
      </w:r>
      <w:r w:rsidRPr="007F6F28">
        <w:rPr>
          <w:lang w:val="en-GB"/>
        </w:rPr>
        <w:t>E</w:t>
      </w:r>
      <w:r w:rsidR="00167E48">
        <w:rPr>
          <w:lang w:val="en-GB"/>
        </w:rPr>
        <w:t xml:space="preserve">ducation </w:t>
      </w:r>
      <w:r w:rsidRPr="007F6F28">
        <w:rPr>
          <w:lang w:val="en-GB"/>
        </w:rPr>
        <w:t>A</w:t>
      </w:r>
      <w:r w:rsidR="00167E48">
        <w:rPr>
          <w:lang w:val="en-GB"/>
        </w:rPr>
        <w:t>rea (EHEA)</w:t>
      </w:r>
      <w:r w:rsidRPr="007F6F28">
        <w:rPr>
          <w:lang w:val="en-GB"/>
        </w:rPr>
        <w:t>. Ve</w:t>
      </w:r>
      <w:r w:rsidR="003F2761" w:rsidRPr="007F6F28">
        <w:rPr>
          <w:lang w:val="en-GB"/>
        </w:rPr>
        <w:t>r</w:t>
      </w:r>
      <w:r w:rsidRPr="007F6F28">
        <w:rPr>
          <w:lang w:val="en-GB"/>
        </w:rPr>
        <w:t>if</w:t>
      </w:r>
      <w:r w:rsidR="003F2761" w:rsidRPr="007F6F28">
        <w:rPr>
          <w:lang w:val="en-GB"/>
        </w:rPr>
        <w:t xml:space="preserve">ication of the contents of the programme </w:t>
      </w:r>
      <w:r w:rsidR="00684274" w:rsidRPr="007F6F28">
        <w:rPr>
          <w:lang w:val="en-GB"/>
        </w:rPr>
        <w:t>make</w:t>
      </w:r>
      <w:r w:rsidR="003F2761" w:rsidRPr="007F6F28">
        <w:rPr>
          <w:lang w:val="en-GB"/>
        </w:rPr>
        <w:t xml:space="preserve">s the procedure very cumbersome, </w:t>
      </w:r>
      <w:r w:rsidR="007F6F28" w:rsidRPr="007F6F28">
        <w:rPr>
          <w:lang w:val="en-GB"/>
        </w:rPr>
        <w:t>prevents recognition of many comparable awards, hinders mobility or, at times, makes it</w:t>
      </w:r>
      <w:r w:rsidR="00167E48">
        <w:rPr>
          <w:lang w:val="en-GB"/>
        </w:rPr>
        <w:t xml:space="preserve"> even</w:t>
      </w:r>
      <w:r w:rsidR="007F6F28" w:rsidRPr="007F6F28">
        <w:rPr>
          <w:lang w:val="en-GB"/>
        </w:rPr>
        <w:t xml:space="preserve"> impossible. It </w:t>
      </w:r>
      <w:r w:rsidR="00684274" w:rsidRPr="007F6F28">
        <w:rPr>
          <w:lang w:val="en-GB"/>
        </w:rPr>
        <w:t>can</w:t>
      </w:r>
      <w:r w:rsidR="007F6F28" w:rsidRPr="007F6F28">
        <w:rPr>
          <w:lang w:val="en-GB"/>
        </w:rPr>
        <w:t xml:space="preserve"> also</w:t>
      </w:r>
      <w:r w:rsidR="00684274" w:rsidRPr="007F6F28">
        <w:rPr>
          <w:lang w:val="en-GB"/>
        </w:rPr>
        <w:t xml:space="preserve"> lead to mistakes in </w:t>
      </w:r>
      <w:r w:rsidR="002D0AC4" w:rsidRPr="007F6F28">
        <w:rPr>
          <w:lang w:val="en-GB"/>
        </w:rPr>
        <w:t xml:space="preserve">decisions because titles of the subjects can be misleading or may be misinterpreted (especially for </w:t>
      </w:r>
      <w:r w:rsidR="007F6F28" w:rsidRPr="007F6F28">
        <w:rPr>
          <w:lang w:val="en-GB"/>
        </w:rPr>
        <w:t>modular systems</w:t>
      </w:r>
      <w:r w:rsidR="002D0AC4" w:rsidRPr="007F6F28">
        <w:rPr>
          <w:lang w:val="en-GB"/>
        </w:rPr>
        <w:t>)</w:t>
      </w:r>
      <w:r w:rsidR="007F6F28" w:rsidRPr="007F6F28">
        <w:rPr>
          <w:lang w:val="en-GB"/>
        </w:rPr>
        <w:t xml:space="preserve"> and </w:t>
      </w:r>
      <w:r w:rsidR="00754ADB">
        <w:rPr>
          <w:lang w:val="en-GB"/>
        </w:rPr>
        <w:t>it requires in-</w:t>
      </w:r>
      <w:r w:rsidR="007F6F28" w:rsidRPr="007F6F28">
        <w:rPr>
          <w:lang w:val="en-GB"/>
        </w:rPr>
        <w:t xml:space="preserve">depth subject specific knowledge from the assessors. </w:t>
      </w:r>
      <w:r w:rsidR="002D0AC4" w:rsidRPr="007F6F28">
        <w:rPr>
          <w:lang w:val="en-GB"/>
        </w:rPr>
        <w:t xml:space="preserve"> </w:t>
      </w:r>
      <w:r w:rsidR="004960D9" w:rsidRPr="007F6F28">
        <w:rPr>
          <w:lang w:val="en-GB"/>
        </w:rPr>
        <w:t xml:space="preserve">This also does not allow </w:t>
      </w:r>
      <w:r w:rsidR="007F6F28">
        <w:rPr>
          <w:lang w:val="en-GB"/>
        </w:rPr>
        <w:t>recognis</w:t>
      </w:r>
      <w:r w:rsidR="007F6F28" w:rsidRPr="007F6F28">
        <w:rPr>
          <w:lang w:val="en-GB"/>
        </w:rPr>
        <w:t>ing</w:t>
      </w:r>
      <w:r w:rsidR="004960D9" w:rsidRPr="007F6F28">
        <w:rPr>
          <w:lang w:val="en-GB"/>
        </w:rPr>
        <w:t xml:space="preserve"> qualifications that do not fall into the classification of subject fields provisioned in the national legislation. This</w:t>
      </w:r>
      <w:r w:rsidR="00282B27" w:rsidRPr="007F6F28">
        <w:rPr>
          <w:lang w:val="en-GB"/>
        </w:rPr>
        <w:t>, among others,</w:t>
      </w:r>
      <w:r w:rsidR="004960D9" w:rsidRPr="007F6F28">
        <w:rPr>
          <w:lang w:val="en-GB"/>
        </w:rPr>
        <w:t xml:space="preserve"> includes </w:t>
      </w:r>
      <w:r w:rsidR="00282B27" w:rsidRPr="007F6F28">
        <w:rPr>
          <w:lang w:val="en-GB"/>
        </w:rPr>
        <w:t xml:space="preserve">interdisciplinary awards and awards offered in the </w:t>
      </w:r>
      <w:r w:rsidR="007F6F28" w:rsidRPr="007F6F28">
        <w:rPr>
          <w:lang w:val="en-GB"/>
        </w:rPr>
        <w:t>specialisations</w:t>
      </w:r>
      <w:r w:rsidR="00282B27" w:rsidRPr="007F6F28">
        <w:rPr>
          <w:lang w:val="en-GB"/>
        </w:rPr>
        <w:t xml:space="preserve"> that do not exist in Azerbaijan, but are on demand.</w:t>
      </w:r>
    </w:p>
    <w:p w:rsidR="007F6F28" w:rsidRDefault="004960D9" w:rsidP="002E4F72">
      <w:pPr>
        <w:jc w:val="both"/>
        <w:rPr>
          <w:lang w:val="en-GB"/>
        </w:rPr>
      </w:pPr>
      <w:r w:rsidRPr="007F6F28">
        <w:rPr>
          <w:lang w:val="en-GB"/>
        </w:rPr>
        <w:t xml:space="preserve">It is recommended that, on </w:t>
      </w:r>
      <w:r w:rsidR="00754ADB">
        <w:rPr>
          <w:lang w:val="en-GB"/>
        </w:rPr>
        <w:t xml:space="preserve">the </w:t>
      </w:r>
      <w:r w:rsidRPr="007F6F28">
        <w:rPr>
          <w:lang w:val="en-GB"/>
        </w:rPr>
        <w:t>national level (ANO), comparabilit</w:t>
      </w:r>
      <w:r w:rsidR="00167E48">
        <w:rPr>
          <w:lang w:val="en-GB"/>
        </w:rPr>
        <w:t xml:space="preserve">y of generic learning outcomes </w:t>
      </w:r>
      <w:r w:rsidRPr="007F6F28">
        <w:rPr>
          <w:lang w:val="en-GB"/>
        </w:rPr>
        <w:t>(related to the leve</w:t>
      </w:r>
      <w:r w:rsidR="007F6F28">
        <w:rPr>
          <w:lang w:val="en-GB"/>
        </w:rPr>
        <w:t xml:space="preserve">l and type of award) </w:t>
      </w:r>
      <w:r w:rsidR="00167E48">
        <w:rPr>
          <w:lang w:val="en-GB"/>
        </w:rPr>
        <w:t xml:space="preserve">should </w:t>
      </w:r>
      <w:r w:rsidRPr="007F6F28">
        <w:rPr>
          <w:lang w:val="en-GB"/>
        </w:rPr>
        <w:t xml:space="preserve">be considered in the process of recognition. The profile </w:t>
      </w:r>
      <w:r w:rsidR="00167E48">
        <w:rPr>
          <w:lang w:val="en-GB"/>
        </w:rPr>
        <w:t xml:space="preserve">or field </w:t>
      </w:r>
      <w:r w:rsidRPr="007F6F28">
        <w:rPr>
          <w:lang w:val="en-GB"/>
        </w:rPr>
        <w:t>of the programme can be noted</w:t>
      </w:r>
      <w:r w:rsidR="007F6F28">
        <w:rPr>
          <w:lang w:val="en-GB"/>
        </w:rPr>
        <w:t xml:space="preserve"> and/or descri</w:t>
      </w:r>
      <w:r w:rsidR="00167E48">
        <w:rPr>
          <w:lang w:val="en-GB"/>
        </w:rPr>
        <w:t>bed in the recognition decision</w:t>
      </w:r>
      <w:r w:rsidRPr="007F6F28">
        <w:rPr>
          <w:lang w:val="en-GB"/>
        </w:rPr>
        <w:t xml:space="preserve"> as additional </w:t>
      </w:r>
      <w:r w:rsidR="00282B27" w:rsidRPr="007F6F28">
        <w:rPr>
          <w:lang w:val="en-GB"/>
        </w:rPr>
        <w:t xml:space="preserve">information for higher education institutions and employers. </w:t>
      </w:r>
    </w:p>
    <w:p w:rsidR="00282B27" w:rsidRPr="007F6F28" w:rsidRDefault="00282B27" w:rsidP="002E4F72">
      <w:pPr>
        <w:jc w:val="both"/>
        <w:rPr>
          <w:lang w:val="en-GB"/>
        </w:rPr>
      </w:pPr>
      <w:r w:rsidRPr="007F6F28">
        <w:rPr>
          <w:lang w:val="en-GB"/>
        </w:rPr>
        <w:t>Comparability of field</w:t>
      </w:r>
      <w:r w:rsidR="007E76DF">
        <w:rPr>
          <w:lang w:val="en-GB"/>
        </w:rPr>
        <w:t xml:space="preserve"> or subject</w:t>
      </w:r>
      <w:r w:rsidRPr="007F6F28">
        <w:rPr>
          <w:lang w:val="en-GB"/>
        </w:rPr>
        <w:t xml:space="preserve"> specific learning outcomes should </w:t>
      </w:r>
      <w:r w:rsidR="007E76DF">
        <w:rPr>
          <w:lang w:val="en-GB"/>
        </w:rPr>
        <w:t xml:space="preserve">be considered </w:t>
      </w:r>
      <w:r w:rsidR="00167E48">
        <w:rPr>
          <w:lang w:val="en-GB"/>
        </w:rPr>
        <w:t xml:space="preserve">in a flexible manner </w:t>
      </w:r>
      <w:r w:rsidR="007E76DF">
        <w:rPr>
          <w:lang w:val="en-GB"/>
        </w:rPr>
        <w:t>on the level of higher education institutions</w:t>
      </w:r>
      <w:r w:rsidRPr="007F6F28">
        <w:rPr>
          <w:lang w:val="en-GB"/>
        </w:rPr>
        <w:t xml:space="preserve"> or employers when the decision regarding admission to a programme or access to a certain profession is made. </w:t>
      </w:r>
    </w:p>
    <w:p w:rsidR="00282B27" w:rsidRPr="007F6F28" w:rsidRDefault="007E76DF" w:rsidP="002E4F72">
      <w:pPr>
        <w:jc w:val="both"/>
        <w:rPr>
          <w:i/>
          <w:lang w:val="en-GB"/>
        </w:rPr>
      </w:pPr>
      <w:r>
        <w:rPr>
          <w:i/>
          <w:lang w:val="en-GB"/>
        </w:rPr>
        <w:t>Flexibility in a</w:t>
      </w:r>
      <w:r w:rsidR="00282B27" w:rsidRPr="007F6F28">
        <w:rPr>
          <w:i/>
          <w:lang w:val="en-GB"/>
        </w:rPr>
        <w:t>pplying the concept of substantial difference</w:t>
      </w:r>
    </w:p>
    <w:p w:rsidR="0006654A" w:rsidRDefault="0006654A" w:rsidP="002E4F72">
      <w:pPr>
        <w:jc w:val="both"/>
        <w:rPr>
          <w:lang w:val="en-GB"/>
        </w:rPr>
      </w:pPr>
      <w:r w:rsidRPr="007F6F28">
        <w:rPr>
          <w:lang w:val="en-GB"/>
        </w:rPr>
        <w:t>A large reliance on national</w:t>
      </w:r>
      <w:r>
        <w:rPr>
          <w:lang w:val="en-GB"/>
        </w:rPr>
        <w:t xml:space="preserve"> legislation and the expectations for the foreign </w:t>
      </w:r>
      <w:r w:rsidRPr="007F6F28">
        <w:rPr>
          <w:lang w:val="en-GB"/>
        </w:rPr>
        <w:t xml:space="preserve">award to meet the </w:t>
      </w:r>
      <w:r>
        <w:rPr>
          <w:lang w:val="en-GB"/>
        </w:rPr>
        <w:t>r</w:t>
      </w:r>
      <w:r w:rsidRPr="007F6F28">
        <w:rPr>
          <w:lang w:val="en-GB"/>
        </w:rPr>
        <w:t>equirements of the</w:t>
      </w:r>
      <w:r>
        <w:rPr>
          <w:lang w:val="en-GB"/>
        </w:rPr>
        <w:t xml:space="preserve"> Azerbaijani national</w:t>
      </w:r>
      <w:r w:rsidRPr="007F6F28">
        <w:rPr>
          <w:lang w:val="en-GB"/>
        </w:rPr>
        <w:t xml:space="preserve"> legislation was noticed. </w:t>
      </w:r>
      <w:r>
        <w:rPr>
          <w:lang w:val="en-GB"/>
        </w:rPr>
        <w:t>Recognition authorities should be aware that qualifications awarded in the foreign systems of education will differ</w:t>
      </w:r>
      <w:r w:rsidRPr="0006654A">
        <w:rPr>
          <w:lang w:val="en-GB"/>
        </w:rPr>
        <w:t xml:space="preserve"> </w:t>
      </w:r>
      <w:r>
        <w:rPr>
          <w:lang w:val="en-GB"/>
        </w:rPr>
        <w:t xml:space="preserve">and should not be expected to </w:t>
      </w:r>
      <w:r w:rsidR="00167E48">
        <w:rPr>
          <w:lang w:val="en-GB"/>
        </w:rPr>
        <w:t xml:space="preserve">fully </w:t>
      </w:r>
      <w:r>
        <w:rPr>
          <w:lang w:val="en-GB"/>
        </w:rPr>
        <w:t>comply with the</w:t>
      </w:r>
      <w:r w:rsidRPr="007F6F28">
        <w:rPr>
          <w:lang w:val="en-GB"/>
        </w:rPr>
        <w:t xml:space="preserve"> national </w:t>
      </w:r>
      <w:r>
        <w:rPr>
          <w:lang w:val="en-GB"/>
        </w:rPr>
        <w:t xml:space="preserve">requirements </w:t>
      </w:r>
      <w:r w:rsidR="00167E48">
        <w:rPr>
          <w:lang w:val="en-GB"/>
        </w:rPr>
        <w:t>of the receiving country</w:t>
      </w:r>
      <w:r>
        <w:rPr>
          <w:lang w:val="en-GB"/>
        </w:rPr>
        <w:t xml:space="preserve">. </w:t>
      </w:r>
    </w:p>
    <w:p w:rsidR="00123E17" w:rsidRPr="007F6F28" w:rsidRDefault="00282B27" w:rsidP="002E4F72">
      <w:pPr>
        <w:jc w:val="both"/>
        <w:rPr>
          <w:lang w:val="en-GB"/>
        </w:rPr>
      </w:pPr>
      <w:r w:rsidRPr="007F6F28">
        <w:rPr>
          <w:lang w:val="en-GB"/>
        </w:rPr>
        <w:t>The concept of substantial difference is one of the key concepts of the Lisbon Recognition Convention</w:t>
      </w:r>
      <w:r w:rsidR="0006654A">
        <w:rPr>
          <w:lang w:val="en-GB"/>
        </w:rPr>
        <w:t xml:space="preserve"> </w:t>
      </w:r>
      <w:r w:rsidR="00167E48">
        <w:rPr>
          <w:lang w:val="en-GB"/>
        </w:rPr>
        <w:t xml:space="preserve">that </w:t>
      </w:r>
      <w:r w:rsidR="00F55684" w:rsidRPr="007F6F28">
        <w:rPr>
          <w:lang w:val="en-GB"/>
        </w:rPr>
        <w:t>allows</w:t>
      </w:r>
      <w:r w:rsidR="005C004E">
        <w:rPr>
          <w:lang w:val="en-GB"/>
        </w:rPr>
        <w:t xml:space="preserve"> recognition of qualifications, which are different, but comparable. </w:t>
      </w:r>
      <w:r w:rsidR="00123E17" w:rsidRPr="007F6F28">
        <w:rPr>
          <w:lang w:val="en-GB"/>
        </w:rPr>
        <w:t>It is</w:t>
      </w:r>
      <w:r w:rsidR="0006654A">
        <w:rPr>
          <w:lang w:val="en-GB"/>
        </w:rPr>
        <w:t>,</w:t>
      </w:r>
      <w:r w:rsidR="00123E17" w:rsidRPr="007F6F28">
        <w:rPr>
          <w:lang w:val="en-GB"/>
        </w:rPr>
        <w:t xml:space="preserve"> </w:t>
      </w:r>
      <w:r w:rsidR="0006654A">
        <w:rPr>
          <w:lang w:val="en-GB"/>
        </w:rPr>
        <w:t xml:space="preserve">therefore, </w:t>
      </w:r>
      <w:r w:rsidR="00123E17" w:rsidRPr="007F6F28">
        <w:rPr>
          <w:lang w:val="en-GB"/>
        </w:rPr>
        <w:t xml:space="preserve">recommended to apply a flexible approach </w:t>
      </w:r>
      <w:r w:rsidR="0006654A">
        <w:rPr>
          <w:lang w:val="en-GB"/>
        </w:rPr>
        <w:t xml:space="preserve">in recognition </w:t>
      </w:r>
      <w:r w:rsidR="009E6557" w:rsidRPr="007F6F28">
        <w:rPr>
          <w:lang w:val="en-GB"/>
        </w:rPr>
        <w:t>and allow diffe</w:t>
      </w:r>
      <w:r w:rsidR="0006654A">
        <w:rPr>
          <w:lang w:val="en-GB"/>
        </w:rPr>
        <w:t xml:space="preserve">rences that are not substantial and </w:t>
      </w:r>
      <w:r w:rsidR="0006654A" w:rsidRPr="007F6F28">
        <w:rPr>
          <w:lang w:val="en-GB"/>
        </w:rPr>
        <w:t>would</w:t>
      </w:r>
      <w:r w:rsidR="00167E48">
        <w:rPr>
          <w:lang w:val="en-GB"/>
        </w:rPr>
        <w:t xml:space="preserve"> not</w:t>
      </w:r>
      <w:r w:rsidR="0006654A" w:rsidRPr="007F6F28">
        <w:rPr>
          <w:lang w:val="en-GB"/>
        </w:rPr>
        <w:t xml:space="preserve"> prevent the holder of the award from </w:t>
      </w:r>
      <w:r w:rsidR="0006654A">
        <w:rPr>
          <w:lang w:val="en-GB"/>
        </w:rPr>
        <w:t xml:space="preserve">successfully </w:t>
      </w:r>
      <w:r w:rsidR="0006654A" w:rsidRPr="007F6F28">
        <w:rPr>
          <w:lang w:val="en-GB"/>
        </w:rPr>
        <w:t xml:space="preserve">continuing to </w:t>
      </w:r>
      <w:r w:rsidR="00167E48">
        <w:rPr>
          <w:lang w:val="en-GB"/>
        </w:rPr>
        <w:t>further education or employment</w:t>
      </w:r>
      <w:r w:rsidR="0006654A">
        <w:rPr>
          <w:lang w:val="en-GB"/>
        </w:rPr>
        <w:t>.</w:t>
      </w:r>
      <w:r w:rsidR="0006654A" w:rsidRPr="007F6F28">
        <w:rPr>
          <w:lang w:val="en-GB"/>
        </w:rPr>
        <w:t xml:space="preserve"> </w:t>
      </w:r>
      <w:r w:rsidR="009E6557" w:rsidRPr="007F6F28">
        <w:rPr>
          <w:lang w:val="en-GB"/>
        </w:rPr>
        <w:t xml:space="preserve">For example, </w:t>
      </w:r>
      <w:r w:rsidR="00754ADB">
        <w:rPr>
          <w:lang w:val="en-GB"/>
        </w:rPr>
        <w:t xml:space="preserve">the </w:t>
      </w:r>
      <w:r w:rsidR="0006654A">
        <w:rPr>
          <w:lang w:val="en-GB"/>
        </w:rPr>
        <w:t xml:space="preserve">flexible approach should be applied to </w:t>
      </w:r>
      <w:r w:rsidR="009E6557" w:rsidRPr="007F6F28">
        <w:rPr>
          <w:lang w:val="en-GB"/>
        </w:rPr>
        <w:t xml:space="preserve">qualifications, which </w:t>
      </w:r>
      <w:r w:rsidR="00167E48" w:rsidRPr="007F6F28">
        <w:rPr>
          <w:lang w:val="en-GB"/>
        </w:rPr>
        <w:t xml:space="preserve">do not meet national </w:t>
      </w:r>
      <w:r w:rsidR="00167E48" w:rsidRPr="007F6F28">
        <w:rPr>
          <w:lang w:val="en-GB"/>
        </w:rPr>
        <w:lastRenderedPageBreak/>
        <w:t xml:space="preserve">requirements </w:t>
      </w:r>
      <w:r w:rsidR="009E6557" w:rsidRPr="007F6F28">
        <w:rPr>
          <w:lang w:val="en-GB"/>
        </w:rPr>
        <w:t xml:space="preserve">in terms of duration, but follow the requirements </w:t>
      </w:r>
      <w:r w:rsidR="007A1C84">
        <w:rPr>
          <w:lang w:val="en-GB"/>
        </w:rPr>
        <w:t xml:space="preserve">for the Bologna cycle structure or </w:t>
      </w:r>
      <w:r w:rsidR="0006654A">
        <w:rPr>
          <w:lang w:val="en-GB"/>
        </w:rPr>
        <w:t>foreign qualifications, which are awarded in the fields traditionally not offered in Azerbaijan.</w:t>
      </w:r>
    </w:p>
    <w:p w:rsidR="009E6557" w:rsidRPr="007F6F28" w:rsidRDefault="009E6557" w:rsidP="002E4F72">
      <w:pPr>
        <w:jc w:val="both"/>
        <w:rPr>
          <w:i/>
          <w:lang w:val="en-GB"/>
        </w:rPr>
      </w:pPr>
      <w:r w:rsidRPr="007F6F28">
        <w:rPr>
          <w:i/>
          <w:lang w:val="en-GB"/>
        </w:rPr>
        <w:t>Applying the l</w:t>
      </w:r>
      <w:r w:rsidR="00831637" w:rsidRPr="007F6F28">
        <w:rPr>
          <w:i/>
          <w:lang w:val="en-GB"/>
        </w:rPr>
        <w:t xml:space="preserve">earning outcomes approach to recognition </w:t>
      </w:r>
    </w:p>
    <w:p w:rsidR="009E6557" w:rsidRPr="007F6F28" w:rsidRDefault="009E6557" w:rsidP="002E4F72">
      <w:pPr>
        <w:jc w:val="both"/>
        <w:rPr>
          <w:lang w:val="en-GB"/>
        </w:rPr>
      </w:pPr>
      <w:r w:rsidRPr="007F6F28">
        <w:rPr>
          <w:lang w:val="en-GB"/>
        </w:rPr>
        <w:t xml:space="preserve">The learning outcomes approach to recognition is the best practice in recognition promoted in the </w:t>
      </w:r>
      <w:r w:rsidR="007A1C84">
        <w:rPr>
          <w:lang w:val="en-GB"/>
        </w:rPr>
        <w:t>EHEA</w:t>
      </w:r>
      <w:r w:rsidRPr="007F6F28">
        <w:rPr>
          <w:lang w:val="en-GB"/>
        </w:rPr>
        <w:t xml:space="preserve">. It promotes focusing on the overall </w:t>
      </w:r>
      <w:r w:rsidR="007A1C84">
        <w:rPr>
          <w:lang w:val="en-GB"/>
        </w:rPr>
        <w:t>result, not on the process of</w:t>
      </w:r>
      <w:r w:rsidRPr="007F6F28">
        <w:rPr>
          <w:lang w:val="en-GB"/>
        </w:rPr>
        <w:t xml:space="preserve"> how th</w:t>
      </w:r>
      <w:r w:rsidR="0006654A">
        <w:rPr>
          <w:lang w:val="en-GB"/>
        </w:rPr>
        <w:t>e</w:t>
      </w:r>
      <w:r w:rsidRPr="007F6F28">
        <w:rPr>
          <w:lang w:val="en-GB"/>
        </w:rPr>
        <w:t xml:space="preserve"> qualification was achieved. This approach allows countries to </w:t>
      </w:r>
      <w:r w:rsidR="007A1C84">
        <w:rPr>
          <w:lang w:val="en-GB"/>
        </w:rPr>
        <w:t>recognise</w:t>
      </w:r>
      <w:r w:rsidRPr="007F6F28">
        <w:rPr>
          <w:lang w:val="en-GB"/>
        </w:rPr>
        <w:t xml:space="preserve"> different forms and modes of learning, which are becoming more and more varied, including non-traditional learning and distance learning. It is agreed that </w:t>
      </w:r>
      <w:r w:rsidR="007A1C84" w:rsidRPr="007F6F28">
        <w:rPr>
          <w:lang w:val="en-GB"/>
        </w:rPr>
        <w:t xml:space="preserve">the learning outcomes </w:t>
      </w:r>
      <w:r w:rsidR="007A1C84">
        <w:rPr>
          <w:lang w:val="en-GB"/>
        </w:rPr>
        <w:t xml:space="preserve">of </w:t>
      </w:r>
      <w:r w:rsidRPr="007F6F28">
        <w:rPr>
          <w:lang w:val="en-GB"/>
        </w:rPr>
        <w:t>a quality assu</w:t>
      </w:r>
      <w:r w:rsidR="007A1C84">
        <w:rPr>
          <w:lang w:val="en-GB"/>
        </w:rPr>
        <w:t>red award (awarded by a recognis</w:t>
      </w:r>
      <w:r w:rsidRPr="007F6F28">
        <w:rPr>
          <w:lang w:val="en-GB"/>
        </w:rPr>
        <w:t>ed institution through an accredited programme (i</w:t>
      </w:r>
      <w:r w:rsidR="007A1C84">
        <w:rPr>
          <w:lang w:val="en-GB"/>
        </w:rPr>
        <w:t xml:space="preserve">f provisioned)), </w:t>
      </w:r>
      <w:r w:rsidRPr="007F6F28">
        <w:rPr>
          <w:lang w:val="en-GB"/>
        </w:rPr>
        <w:t>should be considered as va</w:t>
      </w:r>
      <w:r w:rsidR="007A1C84">
        <w:rPr>
          <w:lang w:val="en-GB"/>
        </w:rPr>
        <w:t>lid without detailed scrutiny into</w:t>
      </w:r>
      <w:r w:rsidRPr="007F6F28">
        <w:rPr>
          <w:lang w:val="en-GB"/>
        </w:rPr>
        <w:t xml:space="preserve"> how the award was achieved. This approach should allow for recognition of properly quality </w:t>
      </w:r>
      <w:r w:rsidR="00505F18" w:rsidRPr="007F6F28">
        <w:rPr>
          <w:lang w:val="en-GB"/>
        </w:rPr>
        <w:t xml:space="preserve">assured </w:t>
      </w:r>
      <w:r w:rsidRPr="007F6F28">
        <w:rPr>
          <w:lang w:val="en-GB"/>
        </w:rPr>
        <w:t>qualifications awarded through distance l</w:t>
      </w:r>
      <w:r w:rsidR="0006654A">
        <w:rPr>
          <w:lang w:val="en-GB"/>
        </w:rPr>
        <w:t>earning</w:t>
      </w:r>
      <w:r w:rsidR="007A1C84">
        <w:rPr>
          <w:lang w:val="en-GB"/>
        </w:rPr>
        <w:t xml:space="preserve"> or other non-traditional learning because they have comparable outcomes with the traditional awards</w:t>
      </w:r>
      <w:r w:rsidR="0006654A">
        <w:rPr>
          <w:lang w:val="en-GB"/>
        </w:rPr>
        <w:t xml:space="preserve">. </w:t>
      </w:r>
    </w:p>
    <w:p w:rsidR="009E6557" w:rsidRPr="007F6F28" w:rsidRDefault="00505F18" w:rsidP="002E4F72">
      <w:pPr>
        <w:jc w:val="both"/>
        <w:rPr>
          <w:i/>
          <w:lang w:val="en-GB"/>
        </w:rPr>
      </w:pPr>
      <w:r w:rsidRPr="007F6F28">
        <w:rPr>
          <w:i/>
          <w:lang w:val="en-GB"/>
        </w:rPr>
        <w:t xml:space="preserve">Recognition decisions should be based </w:t>
      </w:r>
      <w:r w:rsidR="005F1706" w:rsidRPr="007F6F28">
        <w:rPr>
          <w:i/>
          <w:lang w:val="en-GB"/>
        </w:rPr>
        <w:t>on criteria directly related to the qualification</w:t>
      </w:r>
    </w:p>
    <w:p w:rsidR="0002369B" w:rsidRPr="007F6F28" w:rsidRDefault="005F1706" w:rsidP="002E4F72">
      <w:pPr>
        <w:tabs>
          <w:tab w:val="num" w:pos="1440"/>
        </w:tabs>
        <w:spacing w:after="0"/>
        <w:jc w:val="both"/>
        <w:rPr>
          <w:lang w:val="en-GB"/>
        </w:rPr>
      </w:pPr>
      <w:r w:rsidRPr="007F6F28">
        <w:rPr>
          <w:lang w:val="en-GB"/>
        </w:rPr>
        <w:t>According to the Lisbon Recognition Convention</w:t>
      </w:r>
      <w:r w:rsidR="008A0421" w:rsidRPr="007F6F28">
        <w:rPr>
          <w:lang w:val="en-GB"/>
        </w:rPr>
        <w:t>’s Explanatory report</w:t>
      </w:r>
      <w:r w:rsidRPr="007F6F28">
        <w:rPr>
          <w:lang w:val="en-GB"/>
        </w:rPr>
        <w:t>,</w:t>
      </w:r>
      <w:r w:rsidR="008A0421" w:rsidRPr="007F6F28">
        <w:rPr>
          <w:lang w:val="en-GB"/>
        </w:rPr>
        <w:t xml:space="preserve"> the convention is aimed at recognition of documented competence, knowledge and skills without recourse to repetition of assessment, examination and testing of such competence, knowledge and skills.</w:t>
      </w:r>
      <w:r w:rsidRPr="007F6F28">
        <w:rPr>
          <w:lang w:val="en-GB"/>
        </w:rPr>
        <w:t xml:space="preserve"> </w:t>
      </w:r>
      <w:r w:rsidR="00831637" w:rsidRPr="007F6F28">
        <w:rPr>
          <w:lang w:val="en-GB"/>
        </w:rPr>
        <w:t xml:space="preserve">The practice of verifying aspects that are not directly related </w:t>
      </w:r>
      <w:r w:rsidR="0002369B" w:rsidRPr="007F6F28">
        <w:rPr>
          <w:lang w:val="en-GB"/>
        </w:rPr>
        <w:t>to the award should be reviewed. Those include:</w:t>
      </w:r>
    </w:p>
    <w:p w:rsidR="0002369B" w:rsidRPr="007F6F28" w:rsidRDefault="00831637" w:rsidP="002E4F72">
      <w:pPr>
        <w:pStyle w:val="Sraopastraipa"/>
        <w:numPr>
          <w:ilvl w:val="0"/>
          <w:numId w:val="4"/>
        </w:numPr>
        <w:tabs>
          <w:tab w:val="num" w:pos="1440"/>
        </w:tabs>
        <w:jc w:val="both"/>
        <w:rPr>
          <w:lang w:val="en-GB"/>
        </w:rPr>
      </w:pPr>
      <w:r w:rsidRPr="007F6F28">
        <w:rPr>
          <w:lang w:val="en-GB"/>
        </w:rPr>
        <w:t>Checking language</w:t>
      </w:r>
    </w:p>
    <w:p w:rsidR="008501B5" w:rsidRPr="007F6F28" w:rsidRDefault="00831637" w:rsidP="002E4F72">
      <w:pPr>
        <w:pStyle w:val="Sraopastraipa"/>
        <w:numPr>
          <w:ilvl w:val="0"/>
          <w:numId w:val="4"/>
        </w:numPr>
        <w:tabs>
          <w:tab w:val="num" w:pos="1440"/>
        </w:tabs>
        <w:jc w:val="both"/>
        <w:rPr>
          <w:lang w:val="en-GB"/>
        </w:rPr>
      </w:pPr>
      <w:r w:rsidRPr="007F6F28">
        <w:rPr>
          <w:lang w:val="en-GB"/>
        </w:rPr>
        <w:t>Checking border crossings</w:t>
      </w:r>
      <w:r w:rsidR="0002369B" w:rsidRPr="007F6F28">
        <w:rPr>
          <w:lang w:val="en-GB"/>
        </w:rPr>
        <w:t>.</w:t>
      </w:r>
    </w:p>
    <w:p w:rsidR="0002369B" w:rsidRPr="007F6F28" w:rsidRDefault="0002369B" w:rsidP="002E4F72">
      <w:pPr>
        <w:jc w:val="both"/>
        <w:rPr>
          <w:lang w:val="en-GB"/>
        </w:rPr>
      </w:pPr>
      <w:r w:rsidRPr="007F6F28">
        <w:rPr>
          <w:lang w:val="en-GB"/>
        </w:rPr>
        <w:t xml:space="preserve">The experts would </w:t>
      </w:r>
      <w:r w:rsidR="00E12CAC" w:rsidRPr="007F6F28">
        <w:rPr>
          <w:lang w:val="en-GB"/>
        </w:rPr>
        <w:t>recommend</w:t>
      </w:r>
      <w:r w:rsidRPr="007F6F28">
        <w:rPr>
          <w:lang w:val="en-GB"/>
        </w:rPr>
        <w:t xml:space="preserve"> getting rid of </w:t>
      </w:r>
      <w:r w:rsidR="007A1C84">
        <w:rPr>
          <w:lang w:val="en-GB"/>
        </w:rPr>
        <w:t>verifying these aspects</w:t>
      </w:r>
      <w:r w:rsidRPr="007F6F28">
        <w:rPr>
          <w:lang w:val="en-GB"/>
        </w:rPr>
        <w:t xml:space="preserve"> entirely because they are not directly related to the academic merits of the</w:t>
      </w:r>
      <w:r w:rsidR="007A1C84">
        <w:rPr>
          <w:lang w:val="en-GB"/>
        </w:rPr>
        <w:t xml:space="preserve"> award</w:t>
      </w:r>
      <w:r w:rsidR="00E44FF4" w:rsidRPr="007F6F28">
        <w:rPr>
          <w:lang w:val="en-GB"/>
        </w:rPr>
        <w:t xml:space="preserve">. However, the </w:t>
      </w:r>
      <w:r w:rsidR="007A1C84">
        <w:rPr>
          <w:lang w:val="en-GB"/>
        </w:rPr>
        <w:t xml:space="preserve">mission </w:t>
      </w:r>
      <w:r w:rsidR="00E44FF4" w:rsidRPr="007F6F28">
        <w:rPr>
          <w:lang w:val="en-GB"/>
        </w:rPr>
        <w:t>interviews have revealed that there is gene</w:t>
      </w:r>
      <w:r w:rsidR="007A1C84">
        <w:rPr>
          <w:lang w:val="en-GB"/>
        </w:rPr>
        <w:t>ral agreement</w:t>
      </w:r>
      <w:r w:rsidR="00E44FF4" w:rsidRPr="007F6F28">
        <w:rPr>
          <w:lang w:val="en-GB"/>
        </w:rPr>
        <w:t xml:space="preserve"> among all stakeholders </w:t>
      </w:r>
      <w:r w:rsidR="007A1C84">
        <w:rPr>
          <w:lang w:val="en-GB"/>
        </w:rPr>
        <w:t>(the ministry, ANO, and higher education institutions) that additional checks are</w:t>
      </w:r>
      <w:r w:rsidR="00E44FF4" w:rsidRPr="007F6F28">
        <w:rPr>
          <w:lang w:val="en-GB"/>
        </w:rPr>
        <w:t xml:space="preserve"> necessary </w:t>
      </w:r>
      <w:r w:rsidR="007A1C84">
        <w:rPr>
          <w:lang w:val="en-GB"/>
        </w:rPr>
        <w:t>for the purpose of</w:t>
      </w:r>
      <w:r w:rsidR="0075216E">
        <w:rPr>
          <w:lang w:val="en-GB"/>
        </w:rPr>
        <w:t xml:space="preserve"> battling certain types of </w:t>
      </w:r>
      <w:r w:rsidR="007A1C84">
        <w:rPr>
          <w:lang w:val="en-GB"/>
        </w:rPr>
        <w:t xml:space="preserve">regional </w:t>
      </w:r>
      <w:r w:rsidR="0075216E">
        <w:rPr>
          <w:lang w:val="en-GB"/>
        </w:rPr>
        <w:t>fraud</w:t>
      </w:r>
      <w:r w:rsidR="00754ADB">
        <w:rPr>
          <w:lang w:val="en-GB"/>
        </w:rPr>
        <w:t>. In</w:t>
      </w:r>
      <w:r w:rsidR="00E44FF4" w:rsidRPr="007F6F28">
        <w:rPr>
          <w:lang w:val="en-GB"/>
        </w:rPr>
        <w:t xml:space="preserve"> light of this, experts would </w:t>
      </w:r>
      <w:r w:rsidR="0075216E" w:rsidRPr="007F6F28">
        <w:rPr>
          <w:lang w:val="en-GB"/>
        </w:rPr>
        <w:t>recommend</w:t>
      </w:r>
      <w:r w:rsidR="00E44FF4" w:rsidRPr="007F6F28">
        <w:rPr>
          <w:lang w:val="en-GB"/>
        </w:rPr>
        <w:t xml:space="preserve"> using more appropriate instruments to achieve similar goals, such as:</w:t>
      </w:r>
    </w:p>
    <w:p w:rsidR="00464165" w:rsidRPr="007F6F28" w:rsidRDefault="00464165" w:rsidP="002E4F72">
      <w:pPr>
        <w:pStyle w:val="Sraopastraipa"/>
        <w:numPr>
          <w:ilvl w:val="0"/>
          <w:numId w:val="5"/>
        </w:numPr>
        <w:jc w:val="both"/>
        <w:rPr>
          <w:lang w:val="en-GB"/>
        </w:rPr>
      </w:pPr>
      <w:r w:rsidRPr="007F6F28">
        <w:rPr>
          <w:lang w:val="en-GB"/>
        </w:rPr>
        <w:t>More detailed application form where the applicant could be asked to provide additional information;</w:t>
      </w:r>
    </w:p>
    <w:p w:rsidR="00E44FF4" w:rsidRPr="007F6F28" w:rsidRDefault="00E44FF4" w:rsidP="002E4F72">
      <w:pPr>
        <w:pStyle w:val="Sraopastraipa"/>
        <w:numPr>
          <w:ilvl w:val="0"/>
          <w:numId w:val="5"/>
        </w:numPr>
        <w:jc w:val="both"/>
        <w:rPr>
          <w:lang w:val="en-GB"/>
        </w:rPr>
      </w:pPr>
      <w:r w:rsidRPr="007F6F28">
        <w:rPr>
          <w:lang w:val="en-GB"/>
        </w:rPr>
        <w:t>Research into the authenticity of the awards (including contacting the issuing institutions);</w:t>
      </w:r>
    </w:p>
    <w:p w:rsidR="00E44FF4" w:rsidRPr="007F6F28" w:rsidRDefault="00E44FF4" w:rsidP="002E4F72">
      <w:pPr>
        <w:pStyle w:val="Sraopastraipa"/>
        <w:numPr>
          <w:ilvl w:val="0"/>
          <w:numId w:val="5"/>
        </w:numPr>
        <w:jc w:val="both"/>
        <w:rPr>
          <w:lang w:val="en-GB"/>
        </w:rPr>
      </w:pPr>
      <w:r w:rsidRPr="007F6F28">
        <w:rPr>
          <w:lang w:val="en-GB"/>
        </w:rPr>
        <w:t xml:space="preserve">Research into the </w:t>
      </w:r>
      <w:r w:rsidR="0075216E" w:rsidRPr="007F6F28">
        <w:rPr>
          <w:lang w:val="en-GB"/>
        </w:rPr>
        <w:t>quality</w:t>
      </w:r>
      <w:r w:rsidRPr="007F6F28">
        <w:rPr>
          <w:lang w:val="en-GB"/>
        </w:rPr>
        <w:t xml:space="preserve"> assurance system of the country of origin and status of the institution and program</w:t>
      </w:r>
      <w:r w:rsidR="007A1C84">
        <w:rPr>
          <w:lang w:val="en-GB"/>
        </w:rPr>
        <w:t>me of the awarded qualification</w:t>
      </w:r>
      <w:r w:rsidRPr="007F6F28">
        <w:rPr>
          <w:lang w:val="en-GB"/>
        </w:rPr>
        <w:t>;</w:t>
      </w:r>
    </w:p>
    <w:p w:rsidR="00E44FF4" w:rsidRPr="007F6F28" w:rsidRDefault="0075216E" w:rsidP="002E4F72">
      <w:pPr>
        <w:pStyle w:val="Sraopastraipa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Border crossing checking and i</w:t>
      </w:r>
      <w:r w:rsidR="00464165" w:rsidRPr="007F6F28">
        <w:rPr>
          <w:lang w:val="en-GB"/>
        </w:rPr>
        <w:t xml:space="preserve">nterview should be resorted only to those who do not pass the aforementioned steps and there are </w:t>
      </w:r>
      <w:r w:rsidR="00006431" w:rsidRPr="007F6F28">
        <w:rPr>
          <w:lang w:val="en-GB"/>
        </w:rPr>
        <w:t>substantiated doubts regarding their study;</w:t>
      </w:r>
    </w:p>
    <w:p w:rsidR="00006431" w:rsidRPr="007F6F28" w:rsidRDefault="00754ADB" w:rsidP="002E4F72">
      <w:pPr>
        <w:pStyle w:val="Sraopastraipa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The i</w:t>
      </w:r>
      <w:r w:rsidR="00006431" w:rsidRPr="007F6F28">
        <w:rPr>
          <w:lang w:val="en-GB"/>
        </w:rPr>
        <w:t>nterview should not consist of language checki</w:t>
      </w:r>
      <w:r w:rsidR="0075216E">
        <w:rPr>
          <w:lang w:val="en-GB"/>
        </w:rPr>
        <w:t>ng, but</w:t>
      </w:r>
      <w:r w:rsidR="007A1C84">
        <w:rPr>
          <w:lang w:val="en-GB"/>
        </w:rPr>
        <w:t xml:space="preserve"> should be directed to determining</w:t>
      </w:r>
      <w:r w:rsidR="0075216E">
        <w:rPr>
          <w:lang w:val="en-GB"/>
        </w:rPr>
        <w:t xml:space="preserve"> specific aspects of study (such as asking questions related and/or to organisation of studies). In case of further doubts, the final decision should rely on</w:t>
      </w:r>
      <w:r w:rsidR="00006431" w:rsidRPr="007F6F28">
        <w:rPr>
          <w:lang w:val="en-GB"/>
        </w:rPr>
        <w:t xml:space="preserve"> a competent assessment of skills and competences.</w:t>
      </w:r>
    </w:p>
    <w:p w:rsidR="0075216E" w:rsidRPr="0075216E" w:rsidRDefault="00E12CAC" w:rsidP="002E4F72">
      <w:pPr>
        <w:jc w:val="both"/>
        <w:rPr>
          <w:i/>
          <w:lang w:val="en-GB"/>
        </w:rPr>
      </w:pPr>
      <w:r>
        <w:rPr>
          <w:i/>
          <w:lang w:val="en-GB"/>
        </w:rPr>
        <w:t>I</w:t>
      </w:r>
      <w:r w:rsidR="0075216E" w:rsidRPr="0075216E">
        <w:rPr>
          <w:i/>
          <w:lang w:val="en-GB"/>
        </w:rPr>
        <w:t>nstitutional capacity building</w:t>
      </w:r>
    </w:p>
    <w:p w:rsidR="0075216E" w:rsidRPr="007F6F28" w:rsidRDefault="0075216E" w:rsidP="002E4F72">
      <w:pPr>
        <w:jc w:val="both"/>
        <w:rPr>
          <w:lang w:val="en-GB"/>
        </w:rPr>
      </w:pPr>
      <w:r w:rsidRPr="007F6F28">
        <w:rPr>
          <w:lang w:val="en-GB"/>
        </w:rPr>
        <w:t>In order to facilitate the achievement of the aforementioned objectives the following should be taken into consideration:</w:t>
      </w:r>
    </w:p>
    <w:p w:rsidR="0075216E" w:rsidRPr="00E12CAC" w:rsidRDefault="00754ADB" w:rsidP="002E4F72">
      <w:pPr>
        <w:pStyle w:val="Sraopastraipa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An i</w:t>
      </w:r>
      <w:r w:rsidR="0075216E" w:rsidRPr="00E12CAC">
        <w:rPr>
          <w:lang w:val="en-GB"/>
        </w:rPr>
        <w:t xml:space="preserve">nternal review of ANO processes for compliance with the Lisbon Recognition Convention. </w:t>
      </w:r>
    </w:p>
    <w:p w:rsidR="00463BB7" w:rsidRPr="00E12CAC" w:rsidRDefault="0075216E" w:rsidP="002E4F72">
      <w:pPr>
        <w:pStyle w:val="Sraopastraipa"/>
        <w:jc w:val="both"/>
        <w:rPr>
          <w:lang w:val="en-GB"/>
        </w:rPr>
      </w:pPr>
      <w:r w:rsidRPr="00E12CAC">
        <w:rPr>
          <w:lang w:val="en-GB"/>
        </w:rPr>
        <w:lastRenderedPageBreak/>
        <w:t xml:space="preserve">This can be done internally by taking advantage of the EAR Manual and ENIC/NARIC quality assurance tool developed through the family of SQUARE projects. In the future, it is recommended </w:t>
      </w:r>
      <w:r w:rsidR="00463BB7" w:rsidRPr="00E12CAC">
        <w:rPr>
          <w:lang w:val="en-GB"/>
        </w:rPr>
        <w:t>to consider participating</w:t>
      </w:r>
      <w:r w:rsidRPr="00E12CAC">
        <w:rPr>
          <w:lang w:val="en-GB"/>
        </w:rPr>
        <w:t xml:space="preserve"> in the external pee</w:t>
      </w:r>
      <w:r w:rsidR="00754ADB">
        <w:rPr>
          <w:lang w:val="en-GB"/>
        </w:rPr>
        <w:t>r</w:t>
      </w:r>
      <w:r w:rsidRPr="00E12CAC">
        <w:rPr>
          <w:lang w:val="en-GB"/>
        </w:rPr>
        <w:t xml:space="preserve">-review </w:t>
      </w:r>
      <w:r w:rsidR="007A1C84">
        <w:rPr>
          <w:lang w:val="en-GB"/>
        </w:rPr>
        <w:t>exercise</w:t>
      </w:r>
      <w:r w:rsidR="00463BB7" w:rsidRPr="00E12CAC">
        <w:rPr>
          <w:lang w:val="en-GB"/>
        </w:rPr>
        <w:t xml:space="preserve"> within the ENIC/NARIC network usually coordinated by the NUFFIC (the Dutch ENIC/NARIC). </w:t>
      </w:r>
    </w:p>
    <w:p w:rsidR="00E12CAC" w:rsidRPr="00E12CAC" w:rsidRDefault="00E12CAC" w:rsidP="002E4F72">
      <w:pPr>
        <w:pStyle w:val="Sraopastraipa"/>
        <w:numPr>
          <w:ilvl w:val="0"/>
          <w:numId w:val="1"/>
        </w:numPr>
        <w:jc w:val="both"/>
        <w:rPr>
          <w:lang w:val="en-GB"/>
        </w:rPr>
      </w:pPr>
      <w:r w:rsidRPr="00E12CAC">
        <w:rPr>
          <w:lang w:val="en-GB"/>
        </w:rPr>
        <w:t xml:space="preserve">Participation of </w:t>
      </w:r>
      <w:r>
        <w:rPr>
          <w:lang w:val="en-GB"/>
        </w:rPr>
        <w:t xml:space="preserve">ANO </w:t>
      </w:r>
      <w:r w:rsidRPr="00E12CAC">
        <w:rPr>
          <w:lang w:val="en-GB"/>
        </w:rPr>
        <w:t>employees in the NARIC on-line training course for Evaluation of Foreign Courses, Diplomas and Qualifications, which is offered in the spring</w:t>
      </w:r>
      <w:r>
        <w:rPr>
          <w:lang w:val="en-GB"/>
        </w:rPr>
        <w:t xml:space="preserve"> o</w:t>
      </w:r>
      <w:r w:rsidRPr="00E12CAC">
        <w:rPr>
          <w:lang w:val="en-GB"/>
        </w:rPr>
        <w:t>f each year free of charge</w:t>
      </w:r>
      <w:r>
        <w:rPr>
          <w:lang w:val="en-GB"/>
        </w:rPr>
        <w:t>; the call to participate in the training is sent through the ENIC/NARIC Listserv.</w:t>
      </w:r>
    </w:p>
    <w:p w:rsidR="0075216E" w:rsidRPr="00E12CAC" w:rsidRDefault="00463BB7" w:rsidP="002E4F72">
      <w:pPr>
        <w:pStyle w:val="Sraopastraipa"/>
        <w:numPr>
          <w:ilvl w:val="0"/>
          <w:numId w:val="1"/>
        </w:numPr>
        <w:jc w:val="both"/>
        <w:rPr>
          <w:lang w:val="en-GB"/>
        </w:rPr>
      </w:pPr>
      <w:r w:rsidRPr="00E12CAC">
        <w:rPr>
          <w:lang w:val="en-GB"/>
        </w:rPr>
        <w:t>Activate participation</w:t>
      </w:r>
      <w:r w:rsidR="00810A00" w:rsidRPr="00E12CAC">
        <w:rPr>
          <w:lang w:val="en-GB"/>
        </w:rPr>
        <w:t xml:space="preserve"> of ANO</w:t>
      </w:r>
      <w:r w:rsidRPr="00E12CAC">
        <w:rPr>
          <w:lang w:val="en-GB"/>
        </w:rPr>
        <w:t xml:space="preserve"> in the </w:t>
      </w:r>
      <w:r w:rsidR="00810A00" w:rsidRPr="00E12CAC">
        <w:rPr>
          <w:lang w:val="en-GB"/>
        </w:rPr>
        <w:t xml:space="preserve">activities of the </w:t>
      </w:r>
      <w:r w:rsidRPr="00E12CAC">
        <w:rPr>
          <w:lang w:val="en-GB"/>
        </w:rPr>
        <w:t xml:space="preserve">ENIC/NARIC network through the meetings, projects, and </w:t>
      </w:r>
      <w:r w:rsidR="00810A00" w:rsidRPr="00E12CAC">
        <w:rPr>
          <w:lang w:val="en-GB"/>
        </w:rPr>
        <w:t xml:space="preserve">various </w:t>
      </w:r>
      <w:r w:rsidRPr="00E12CAC">
        <w:rPr>
          <w:lang w:val="en-GB"/>
        </w:rPr>
        <w:t xml:space="preserve">initiatives. </w:t>
      </w:r>
      <w:r w:rsidR="00400B48" w:rsidRPr="00E12CAC">
        <w:rPr>
          <w:lang w:val="en-GB"/>
        </w:rPr>
        <w:t xml:space="preserve">This will raise awareness and will allow </w:t>
      </w:r>
      <w:proofErr w:type="gramStart"/>
      <w:r w:rsidR="007A1C84">
        <w:rPr>
          <w:lang w:val="en-GB"/>
        </w:rPr>
        <w:t xml:space="preserve">to </w:t>
      </w:r>
      <w:r w:rsidR="00400B48" w:rsidRPr="00E12CAC">
        <w:rPr>
          <w:lang w:val="en-GB"/>
        </w:rPr>
        <w:t>dev</w:t>
      </w:r>
      <w:r w:rsidR="00754ADB">
        <w:rPr>
          <w:lang w:val="en-GB"/>
        </w:rPr>
        <w:t>elop</w:t>
      </w:r>
      <w:proofErr w:type="gramEnd"/>
      <w:r w:rsidR="00754ADB">
        <w:rPr>
          <w:lang w:val="en-GB"/>
        </w:rPr>
        <w:t xml:space="preserve"> the knowledge and the know-</w:t>
      </w:r>
      <w:r w:rsidR="00400B48" w:rsidRPr="00E12CAC">
        <w:rPr>
          <w:lang w:val="en-GB"/>
        </w:rPr>
        <w:t xml:space="preserve">how of the </w:t>
      </w:r>
      <w:r w:rsidR="0075216E" w:rsidRPr="00E12CAC">
        <w:rPr>
          <w:lang w:val="en-GB"/>
        </w:rPr>
        <w:t>best practice in recognition</w:t>
      </w:r>
      <w:r w:rsidR="00400B48" w:rsidRPr="00E12CAC">
        <w:rPr>
          <w:lang w:val="en-GB"/>
        </w:rPr>
        <w:t>.</w:t>
      </w:r>
    </w:p>
    <w:p w:rsidR="00843CDE" w:rsidRDefault="0075216E" w:rsidP="002E4F72">
      <w:pPr>
        <w:jc w:val="both"/>
        <w:rPr>
          <w:lang w:val="en-GB"/>
        </w:rPr>
      </w:pPr>
      <w:r>
        <w:rPr>
          <w:lang w:val="en-GB"/>
        </w:rPr>
        <w:t xml:space="preserve">Additional </w:t>
      </w:r>
      <w:r w:rsidR="00E12CAC">
        <w:rPr>
          <w:lang w:val="en-GB"/>
        </w:rPr>
        <w:t>recommendations</w:t>
      </w:r>
      <w:r>
        <w:rPr>
          <w:lang w:val="en-GB"/>
        </w:rPr>
        <w:t xml:space="preserve"> are provided as comments to the draft of the new legislation governing recognition annexed to this report. </w:t>
      </w:r>
      <w:bookmarkStart w:id="0" w:name="_GoBack"/>
      <w:bookmarkEnd w:id="0"/>
    </w:p>
    <w:sectPr w:rsidR="00843CD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394"/>
    <w:multiLevelType w:val="hybridMultilevel"/>
    <w:tmpl w:val="F79244B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6673D"/>
    <w:multiLevelType w:val="hybridMultilevel"/>
    <w:tmpl w:val="DE26D3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07574"/>
    <w:multiLevelType w:val="hybridMultilevel"/>
    <w:tmpl w:val="43102D2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16294"/>
    <w:multiLevelType w:val="hybridMultilevel"/>
    <w:tmpl w:val="01C663D6"/>
    <w:lvl w:ilvl="0" w:tplc="7DF83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16217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EB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E2E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AB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8E3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583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98A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C2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DC939B6"/>
    <w:multiLevelType w:val="hybridMultilevel"/>
    <w:tmpl w:val="92D0B4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52B68"/>
    <w:multiLevelType w:val="hybridMultilevel"/>
    <w:tmpl w:val="DBFE5CC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24F89"/>
    <w:multiLevelType w:val="hybridMultilevel"/>
    <w:tmpl w:val="FC284CA8"/>
    <w:lvl w:ilvl="0" w:tplc="40BC0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AA677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783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3C9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29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47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F6B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AA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28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CE"/>
    <w:rsid w:val="00006431"/>
    <w:rsid w:val="00016BBE"/>
    <w:rsid w:val="0002369B"/>
    <w:rsid w:val="0006654A"/>
    <w:rsid w:val="00123E17"/>
    <w:rsid w:val="00167E48"/>
    <w:rsid w:val="0022469E"/>
    <w:rsid w:val="00272BBA"/>
    <w:rsid w:val="00282B27"/>
    <w:rsid w:val="002D0AC4"/>
    <w:rsid w:val="002D0AF9"/>
    <w:rsid w:val="002D602E"/>
    <w:rsid w:val="002E4F72"/>
    <w:rsid w:val="003240EC"/>
    <w:rsid w:val="003551CE"/>
    <w:rsid w:val="003F2761"/>
    <w:rsid w:val="00400B48"/>
    <w:rsid w:val="004148BE"/>
    <w:rsid w:val="00463BB7"/>
    <w:rsid w:val="00464165"/>
    <w:rsid w:val="004960D9"/>
    <w:rsid w:val="00505F18"/>
    <w:rsid w:val="00523BF9"/>
    <w:rsid w:val="0054679E"/>
    <w:rsid w:val="005A1E3A"/>
    <w:rsid w:val="005C004E"/>
    <w:rsid w:val="005E6190"/>
    <w:rsid w:val="005F1706"/>
    <w:rsid w:val="00684274"/>
    <w:rsid w:val="0075216E"/>
    <w:rsid w:val="00754ADB"/>
    <w:rsid w:val="007A1621"/>
    <w:rsid w:val="007A1C84"/>
    <w:rsid w:val="007E76DF"/>
    <w:rsid w:val="007F6F28"/>
    <w:rsid w:val="00810A00"/>
    <w:rsid w:val="00831637"/>
    <w:rsid w:val="00843CDE"/>
    <w:rsid w:val="008501B5"/>
    <w:rsid w:val="008812E2"/>
    <w:rsid w:val="008A0421"/>
    <w:rsid w:val="009E6557"/>
    <w:rsid w:val="00B4794B"/>
    <w:rsid w:val="00B64C17"/>
    <w:rsid w:val="00B93A11"/>
    <w:rsid w:val="00BE660C"/>
    <w:rsid w:val="00C0444A"/>
    <w:rsid w:val="00C76E50"/>
    <w:rsid w:val="00D02F24"/>
    <w:rsid w:val="00D9245E"/>
    <w:rsid w:val="00E12CAC"/>
    <w:rsid w:val="00E31031"/>
    <w:rsid w:val="00E44FF4"/>
    <w:rsid w:val="00E64424"/>
    <w:rsid w:val="00EE5830"/>
    <w:rsid w:val="00F55684"/>
    <w:rsid w:val="00FB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9245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1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12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9245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1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12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88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97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2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8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0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901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9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13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47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009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5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50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4826</Words>
  <Characters>2751</Characters>
  <Application>Microsoft Office Word</Application>
  <DocSecurity>0</DocSecurity>
  <Lines>22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SKVC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Sutkutė</dc:creator>
  <cp:lastModifiedBy>Kristina Sutkutė</cp:lastModifiedBy>
  <cp:revision>3</cp:revision>
  <cp:lastPrinted>2019-04-08T11:04:00Z</cp:lastPrinted>
  <dcterms:created xsi:type="dcterms:W3CDTF">2019-04-08T13:30:00Z</dcterms:created>
  <dcterms:modified xsi:type="dcterms:W3CDTF">2019-04-08T13:39:00Z</dcterms:modified>
</cp:coreProperties>
</file>